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内蒙古昆明卷烟有限责任公司2024年度中水处理系统维保项目</w:t>
      </w:r>
    </w:p>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北京华诚永信工程管理有限公司（以下简称代理机构）受内蒙古昆明卷烟有限责任公司（以下简称招标人）的委托，对内蒙古昆明卷烟有限责任公司2024年度中水处理系统维保项目进行公开招标。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12753"/>
      <w:bookmarkStart w:id="1" w:name="_Toc20950"/>
      <w:bookmarkStart w:id="2" w:name="_Toc22587"/>
      <w:bookmarkStart w:id="3" w:name="_Toc24045"/>
      <w:r>
        <w:rPr>
          <w:rFonts w:hint="eastAsia" w:ascii="宋体" w:hAnsi="宋体" w:eastAsia="宋体" w:cs="Times New Roman"/>
          <w:b/>
          <w:bCs/>
          <w:sz w:val="24"/>
          <w:szCs w:val="24"/>
        </w:rPr>
        <w:t>一、项目编号</w:t>
      </w:r>
      <w:bookmarkEnd w:id="0"/>
      <w:bookmarkEnd w:id="1"/>
      <w:bookmarkEnd w:id="2"/>
      <w:bookmarkEnd w:id="3"/>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项目编号：HCYXZB-2024-019</w:t>
      </w:r>
    </w:p>
    <w:p>
      <w:pPr>
        <w:tabs>
          <w:tab w:val="left" w:pos="8460"/>
        </w:tabs>
        <w:spacing w:line="360" w:lineRule="auto"/>
        <w:ind w:firstLine="482" w:firstLineChars="200"/>
        <w:outlineLvl w:val="0"/>
        <w:rPr>
          <w:rFonts w:ascii="宋体" w:hAnsi="宋体" w:eastAsia="宋体" w:cs="Times New Roman"/>
          <w:b/>
          <w:bCs/>
          <w:sz w:val="24"/>
          <w:szCs w:val="24"/>
        </w:rPr>
      </w:pPr>
      <w:bookmarkStart w:id="4" w:name="_Toc8886"/>
      <w:bookmarkStart w:id="5" w:name="_Toc23815"/>
      <w:bookmarkStart w:id="6" w:name="_Toc23889"/>
      <w:bookmarkStart w:id="7" w:name="_Toc12115"/>
      <w:r>
        <w:rPr>
          <w:rFonts w:hint="eastAsia" w:ascii="宋体" w:hAnsi="宋体" w:eastAsia="宋体" w:cs="Times New Roman"/>
          <w:b/>
          <w:bCs/>
          <w:sz w:val="24"/>
          <w:szCs w:val="24"/>
        </w:rPr>
        <w:t>二、项目概况</w:t>
      </w:r>
      <w:bookmarkEnd w:id="4"/>
      <w:bookmarkEnd w:id="5"/>
      <w:bookmarkEnd w:id="6"/>
      <w:bookmarkEnd w:id="7"/>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（一）项目名称：内蒙古昆明卷烟有限责任公司2024年度中水处理系统维保项目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tabs>
          <w:tab w:val="left" w:pos="8460"/>
        </w:tabs>
        <w:spacing w:line="360" w:lineRule="auto"/>
        <w:ind w:firstLine="480" w:firstLineChars="200"/>
        <w:outlineLvl w:val="0"/>
        <w:rPr>
          <w:rFonts w:ascii="宋体" w:hAnsi="宋体" w:eastAsia="宋体" w:cs="Times New Roman"/>
          <w:sz w:val="24"/>
          <w:szCs w:val="24"/>
        </w:rPr>
      </w:pPr>
      <w:bookmarkStart w:id="8" w:name="_Toc21785"/>
      <w:bookmarkStart w:id="9" w:name="_Toc25672"/>
      <w:bookmarkStart w:id="10" w:name="_Toc7083"/>
      <w:bookmarkStart w:id="11" w:name="_Toc29150"/>
      <w:r>
        <w:rPr>
          <w:rFonts w:hint="eastAsia" w:ascii="宋体" w:hAnsi="宋体" w:eastAsia="宋体" w:cs="Times New Roman"/>
          <w:sz w:val="24"/>
          <w:szCs w:val="24"/>
        </w:rPr>
        <w:t>（四）最高投标限价：341083元（含税）。</w:t>
      </w:r>
      <w:bookmarkEnd w:id="8"/>
    </w:p>
    <w:p>
      <w:pPr>
        <w:spacing w:line="500" w:lineRule="exact"/>
        <w:ind w:firstLine="480" w:firstLineChars="200"/>
      </w:pPr>
      <w:r>
        <w:rPr>
          <w:rFonts w:hint="eastAsia" w:ascii="宋体" w:hAnsi="宋体" w:eastAsia="宋体" w:cs="Times New Roman"/>
          <w:sz w:val="24"/>
          <w:szCs w:val="24"/>
        </w:rPr>
        <w:t>（五）</w:t>
      </w:r>
      <w:r>
        <w:rPr>
          <w:rFonts w:hint="eastAsia" w:ascii="宋体" w:hAnsi="宋体" w:eastAsia="宋体" w:cs="宋体"/>
          <w:sz w:val="24"/>
          <w:szCs w:val="24"/>
        </w:rPr>
        <w:t>服务期限：</w:t>
      </w:r>
      <w:r>
        <w:rPr>
          <w:rFonts w:hint="eastAsia" w:ascii="宋体" w:hAnsi="宋体" w:eastAsia="宋体" w:cs="Times New Roman"/>
          <w:bCs/>
          <w:sz w:val="24"/>
          <w:szCs w:val="24"/>
        </w:rPr>
        <w:t>合同签订之日起一年。供应商服务周期内年度评价为合格者可续签合同，最多续签两次。</w:t>
      </w:r>
    </w:p>
    <w:p>
      <w:pPr>
        <w:tabs>
          <w:tab w:val="left" w:pos="8460"/>
        </w:tabs>
        <w:spacing w:line="360" w:lineRule="auto"/>
        <w:ind w:firstLine="480" w:firstLineChars="200"/>
        <w:outlineLvl w:val="0"/>
        <w:rPr>
          <w:rFonts w:ascii="宋体" w:hAnsi="宋体" w:eastAsia="宋体" w:cs="Times New Roman"/>
          <w:sz w:val="24"/>
          <w:szCs w:val="24"/>
        </w:rPr>
      </w:pPr>
      <w:bookmarkStart w:id="12" w:name="_Toc26842"/>
      <w:r>
        <w:rPr>
          <w:rFonts w:hint="eastAsia" w:ascii="宋体" w:hAnsi="宋体" w:eastAsia="宋体" w:cs="Times New Roman"/>
          <w:sz w:val="24"/>
          <w:szCs w:val="24"/>
        </w:rPr>
        <w:t>（六）服务地点：内蒙古昆明卷烟有限责</w:t>
      </w:r>
      <w:bookmarkStart w:id="113" w:name="_GoBack"/>
      <w:bookmarkEnd w:id="113"/>
      <w:r>
        <w:rPr>
          <w:rFonts w:hint="eastAsia" w:ascii="宋体" w:hAnsi="宋体" w:eastAsia="宋体" w:cs="Times New Roman"/>
          <w:sz w:val="24"/>
          <w:szCs w:val="24"/>
        </w:rPr>
        <w:t>任公司。</w:t>
      </w:r>
      <w:bookmarkEnd w:id="12"/>
    </w:p>
    <w:p>
      <w:pPr>
        <w:tabs>
          <w:tab w:val="left" w:pos="8460"/>
        </w:tabs>
        <w:spacing w:line="360" w:lineRule="auto"/>
        <w:ind w:firstLine="482" w:firstLineChars="200"/>
        <w:outlineLvl w:val="0"/>
        <w:rPr>
          <w:rFonts w:ascii="宋体" w:hAnsi="宋体" w:eastAsia="宋体" w:cs="Times New Roman"/>
          <w:b/>
          <w:bCs/>
          <w:sz w:val="24"/>
          <w:szCs w:val="24"/>
        </w:rPr>
      </w:pPr>
      <w:bookmarkStart w:id="13" w:name="_Toc25982"/>
      <w:r>
        <w:rPr>
          <w:rFonts w:hint="eastAsia" w:ascii="宋体" w:hAnsi="宋体" w:eastAsia="宋体" w:cs="Times New Roman"/>
          <w:b/>
          <w:bCs/>
          <w:sz w:val="24"/>
          <w:szCs w:val="24"/>
        </w:rPr>
        <w:t>三、招标内容</w:t>
      </w:r>
      <w:bookmarkEnd w:id="9"/>
      <w:bookmarkEnd w:id="10"/>
      <w:bookmarkEnd w:id="11"/>
      <w:bookmarkEnd w:id="13"/>
    </w:p>
    <w:p>
      <w:pPr>
        <w:tabs>
          <w:tab w:val="left" w:pos="8460"/>
        </w:tabs>
        <w:spacing w:line="360" w:lineRule="auto"/>
        <w:ind w:firstLine="480" w:firstLineChars="200"/>
        <w:outlineLvl w:val="0"/>
        <w:rPr>
          <w:rFonts w:ascii="宋体" w:hAnsi="宋体" w:eastAsia="宋体" w:cs="Times New Roman"/>
          <w:sz w:val="24"/>
          <w:szCs w:val="24"/>
        </w:rPr>
      </w:pPr>
      <w:bookmarkStart w:id="14" w:name="_Toc3150"/>
      <w:bookmarkStart w:id="15" w:name="_Toc28281"/>
      <w:bookmarkStart w:id="16" w:name="_Toc3716"/>
      <w:bookmarkStart w:id="17" w:name="_Toc11898"/>
      <w:r>
        <w:rPr>
          <w:rFonts w:hint="eastAsia" w:ascii="宋体" w:hAnsi="宋体" w:eastAsia="宋体" w:cs="Times New Roman"/>
          <w:sz w:val="24"/>
          <w:szCs w:val="24"/>
        </w:rPr>
        <w:t>中水处理系统维保。</w:t>
      </w:r>
      <w:bookmarkEnd w:id="14"/>
    </w:p>
    <w:p>
      <w:pPr>
        <w:tabs>
          <w:tab w:val="left" w:pos="8460"/>
        </w:tabs>
        <w:spacing w:line="360" w:lineRule="auto"/>
        <w:ind w:firstLine="482" w:firstLineChars="200"/>
        <w:outlineLvl w:val="0"/>
        <w:rPr>
          <w:rFonts w:ascii="宋体" w:hAnsi="宋体" w:eastAsia="宋体" w:cs="Times New Roman"/>
          <w:b/>
          <w:bCs/>
          <w:sz w:val="24"/>
          <w:szCs w:val="24"/>
        </w:rPr>
      </w:pPr>
      <w:bookmarkStart w:id="18" w:name="_Toc13399"/>
      <w:r>
        <w:rPr>
          <w:rFonts w:hint="eastAsia" w:ascii="宋体" w:hAnsi="宋体" w:eastAsia="宋体" w:cs="Times New Roman"/>
          <w:b/>
          <w:bCs/>
          <w:sz w:val="24"/>
          <w:szCs w:val="24"/>
        </w:rPr>
        <w:t>四、投标人资格要求</w:t>
      </w:r>
      <w:bookmarkEnd w:id="15"/>
      <w:bookmarkEnd w:id="16"/>
      <w:bookmarkEnd w:id="17"/>
      <w:bookmarkEnd w:id="18"/>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（三）项目负责人具有在近一年内本企业缴纳社保证明或与本企业签订的书面劳动合同；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（五）投标人及其法定代表人、主要负责人至投标截止日前三年内（成立时间不足三年的，自成立时间起）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19" w:name="_Toc6980"/>
      <w:bookmarkStart w:id="20" w:name="_Toc24758"/>
      <w:bookmarkStart w:id="21" w:name="_Toc30757"/>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bookmarkStart w:id="22" w:name="_Toc20159"/>
      <w:r>
        <w:rPr>
          <w:rFonts w:hint="eastAsia" w:ascii="宋体" w:hAnsi="宋体" w:eastAsia="宋体" w:cs="Times New Roman"/>
          <w:b/>
          <w:bCs/>
          <w:sz w:val="24"/>
          <w:szCs w:val="24"/>
        </w:rPr>
        <w:t>五、公告发布媒介</w:t>
      </w:r>
      <w:bookmarkEnd w:id="19"/>
      <w:bookmarkEnd w:id="20"/>
      <w:bookmarkEnd w:id="21"/>
      <w:bookmarkEnd w:id="22"/>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pPr>
        <w:tabs>
          <w:tab w:val="left" w:pos="8460"/>
        </w:tabs>
        <w:spacing w:line="360" w:lineRule="auto"/>
        <w:ind w:firstLine="482" w:firstLineChars="200"/>
        <w:outlineLvl w:val="0"/>
        <w:rPr>
          <w:rFonts w:ascii="宋体" w:hAnsi="宋体" w:eastAsia="宋体" w:cs="Times New Roman"/>
          <w:b/>
          <w:bCs/>
          <w:sz w:val="24"/>
          <w:szCs w:val="24"/>
        </w:rPr>
      </w:pPr>
      <w:bookmarkStart w:id="23" w:name="_Toc20522"/>
      <w:bookmarkStart w:id="24" w:name="_Toc8900"/>
      <w:r>
        <w:rPr>
          <w:rFonts w:hint="eastAsia" w:ascii="宋体" w:hAnsi="宋体" w:eastAsia="宋体" w:cs="Times New Roman"/>
          <w:b/>
          <w:bCs/>
          <w:sz w:val="24"/>
          <w:szCs w:val="24"/>
        </w:rPr>
        <w:t>六、招标文件的获取</w:t>
      </w:r>
      <w:bookmarkEnd w:id="23"/>
    </w:p>
    <w:bookmarkEnd w:id="24"/>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lang w:eastAsia="zh-CN"/>
        </w:rPr>
        <w:t>2024年05月2</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lang w:eastAsia="zh-CN"/>
        </w:rPr>
        <w:t>日</w:t>
      </w:r>
      <w:r>
        <w:rPr>
          <w:rFonts w:hint="eastAsia" w:ascii="宋体" w:hAnsi="宋体" w:eastAsia="宋体" w:cs="Times New Roman"/>
          <w:sz w:val="24"/>
          <w:szCs w:val="24"/>
        </w:rPr>
        <w:t>至</w:t>
      </w:r>
      <w:r>
        <w:rPr>
          <w:rFonts w:hint="eastAsia" w:ascii="宋体" w:hAnsi="宋体" w:eastAsia="宋体" w:cs="Times New Roman"/>
          <w:sz w:val="24"/>
          <w:szCs w:val="24"/>
          <w:lang w:eastAsia="zh-CN"/>
        </w:rPr>
        <w:t>2024年06月0</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lang w:eastAsia="zh-CN"/>
        </w:rPr>
        <w:t>日</w:t>
      </w:r>
      <w:r>
        <w:rPr>
          <w:rFonts w:hint="eastAsia" w:ascii="宋体" w:hAnsi="宋体" w:eastAsia="宋体" w:cs="Times New Roman"/>
          <w:sz w:val="24"/>
          <w:szCs w:val="24"/>
        </w:rPr>
        <w:t>，9:00-12:00，14:00-17:00，逾期不再受理。</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（二）获取地点：</w:t>
      </w:r>
      <w:r>
        <w:rPr>
          <w:rFonts w:hint="eastAsia" w:ascii="宋体" w:hAnsi="宋体" w:eastAsia="宋体" w:cs="宋体"/>
          <w:sz w:val="24"/>
          <w:szCs w:val="24"/>
        </w:rPr>
        <w:t>北京华诚永信工程管理有限公司</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（四）售    价：</w:t>
      </w:r>
      <w:r>
        <w:rPr>
          <w:rFonts w:hint="eastAsia" w:ascii="宋体" w:hAnsi="宋体" w:eastAsia="宋体" w:cs="宋体"/>
          <w:sz w:val="24"/>
          <w:szCs w:val="24"/>
        </w:rPr>
        <w:t>500元</w:t>
      </w:r>
      <w:r>
        <w:rPr>
          <w:rFonts w:hint="eastAsia" w:ascii="宋体" w:hAnsi="宋体" w:eastAsia="宋体" w:cs="宋体"/>
          <w:bCs/>
          <w:sz w:val="24"/>
          <w:szCs w:val="24"/>
        </w:rPr>
        <w:t>/套，售后不退。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lang w:eastAsia="zh-CN"/>
        </w:rPr>
        <w:t>2024年05月2</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lang w:eastAsia="zh-CN"/>
        </w:rPr>
        <w:t>日</w:t>
      </w:r>
      <w:r>
        <w:rPr>
          <w:rFonts w:hint="eastAsia" w:ascii="宋体" w:hAnsi="宋体" w:eastAsia="宋体" w:cs="Times New Roman"/>
          <w:sz w:val="24"/>
          <w:szCs w:val="24"/>
        </w:rPr>
        <w:t>至</w:t>
      </w:r>
      <w:r>
        <w:rPr>
          <w:rFonts w:hint="eastAsia" w:ascii="宋体" w:hAnsi="宋体" w:eastAsia="宋体" w:cs="Times New Roman"/>
          <w:sz w:val="24"/>
          <w:szCs w:val="24"/>
          <w:lang w:eastAsia="zh-CN"/>
        </w:rPr>
        <w:t>2024年06月0</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lang w:eastAsia="zh-CN"/>
        </w:rPr>
        <w:t>日</w:t>
      </w:r>
      <w:r>
        <w:rPr>
          <w:rFonts w:hint="eastAsia" w:ascii="宋体" w:hAnsi="宋体" w:eastAsia="宋体" w:cs="Times New Roman"/>
          <w:sz w:val="24"/>
          <w:szCs w:val="24"/>
        </w:rPr>
        <w:t>（国家法定公休日、节假日除外），9:00-12:00，14:00-17:00(北京时间，下同)，截止时间为</w:t>
      </w:r>
      <w:r>
        <w:rPr>
          <w:rFonts w:hint="eastAsia" w:ascii="宋体" w:hAnsi="宋体" w:eastAsia="宋体" w:cs="Times New Roman"/>
          <w:sz w:val="24"/>
          <w:szCs w:val="24"/>
          <w:lang w:eastAsia="zh-CN"/>
        </w:rPr>
        <w:t>2024年06月0</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lang w:eastAsia="zh-CN"/>
        </w:rPr>
        <w:t>日</w:t>
      </w:r>
      <w:r>
        <w:rPr>
          <w:rFonts w:hint="eastAsia" w:ascii="宋体" w:hAnsi="宋体" w:eastAsia="宋体" w:cs="Times New Roman"/>
          <w:sz w:val="24"/>
          <w:szCs w:val="24"/>
        </w:rPr>
        <w:t>17:00，逾期不再受理。</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（2）获取地点：北京华诚永信工程管理有限公司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（3）获取地址：</w:t>
      </w:r>
      <w:r>
        <w:rPr>
          <w:rFonts w:hint="eastAsia" w:ascii="宋体" w:hAnsi="宋体" w:eastAsia="宋体" w:cs="宋体"/>
          <w:bCs/>
          <w:sz w:val="24"/>
          <w:szCs w:val="24"/>
        </w:rPr>
        <w:t>内蒙古自治区呼和浩特市金桥开发区嘉逸大厦北楼16层招标部</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left="0" w:leftChars="0" w:firstLine="480" w:firstLineChars="200"/>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lang w:eastAsia="zh-CN"/>
        </w:rPr>
        <w:t>2024年05月2</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lang w:eastAsia="zh-CN"/>
        </w:rPr>
        <w:t>日</w:t>
      </w:r>
      <w:r>
        <w:rPr>
          <w:rFonts w:hint="eastAsia" w:ascii="宋体" w:hAnsi="宋体" w:eastAsia="宋体" w:cs="Times New Roman"/>
          <w:sz w:val="24"/>
          <w:szCs w:val="24"/>
        </w:rPr>
        <w:t>至</w:t>
      </w:r>
      <w:r>
        <w:rPr>
          <w:rFonts w:hint="eastAsia" w:ascii="宋体" w:hAnsi="宋体" w:eastAsia="宋体" w:cs="Times New Roman"/>
          <w:sz w:val="24"/>
          <w:szCs w:val="24"/>
          <w:lang w:eastAsia="zh-CN"/>
        </w:rPr>
        <w:t>2024年06月0</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lang w:eastAsia="zh-CN"/>
        </w:rPr>
        <w:t>日</w:t>
      </w:r>
      <w:r>
        <w:rPr>
          <w:rFonts w:hint="eastAsia" w:ascii="宋体" w:hAnsi="宋体" w:eastAsia="宋体" w:cs="Times New Roman"/>
          <w:sz w:val="24"/>
          <w:szCs w:val="24"/>
        </w:rPr>
        <w:t>，截止时间为</w:t>
      </w:r>
      <w:r>
        <w:rPr>
          <w:rFonts w:hint="eastAsia" w:ascii="宋体" w:hAnsi="宋体" w:eastAsia="宋体" w:cs="Times New Roman"/>
          <w:sz w:val="24"/>
          <w:szCs w:val="24"/>
          <w:lang w:eastAsia="zh-CN"/>
        </w:rPr>
        <w:t>2024年06月0</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lang w:eastAsia="zh-CN"/>
        </w:rPr>
        <w:t>日</w:t>
      </w:r>
      <w:r>
        <w:rPr>
          <w:rFonts w:hint="eastAsia" w:ascii="宋体" w:hAnsi="宋体" w:eastAsia="宋体" w:cs="Times New Roman"/>
          <w:sz w:val="24"/>
          <w:szCs w:val="24"/>
        </w:rPr>
        <w:t>17:00，逾期不再受理。</w:t>
      </w:r>
    </w:p>
    <w:p>
      <w:pPr>
        <w:spacing w:line="360" w:lineRule="auto"/>
        <w:ind w:left="0" w:leftChars="0" w:firstLine="480" w:firstLineChars="200"/>
        <w:rPr>
          <w:rFonts w:ascii="宋体" w:hAnsi="宋体" w:eastAsia="宋体" w:cs="Times New Roman"/>
          <w:sz w:val="24"/>
          <w:szCs w:val="24"/>
        </w:rPr>
      </w:pPr>
      <w:r>
        <w:rPr>
          <w:rFonts w:hint="eastAsia" w:ascii="宋体" w:hAnsi="宋体" w:eastAsia="宋体" w:cs="Times New Roman"/>
          <w:sz w:val="24"/>
          <w:szCs w:val="24"/>
        </w:rPr>
        <w:t>（2）获取邮箱：bjhcyxzbwjm@163.com</w:t>
      </w:r>
    </w:p>
    <w:p>
      <w:pPr>
        <w:spacing w:line="360" w:lineRule="auto"/>
        <w:ind w:left="0" w:leftChars="0" w:firstLine="480" w:firstLineChars="200"/>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收款单位 ：北京华诚永信工程管理有限公司内蒙古分公司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地    址 ：内蒙古自治区呼和浩特市金桥开发区嘉逸大厦北楼16层</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开户银行 ： 中国民生银行股份有限公司呼和浩特鄂尔多斯大街支行</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账    号 ：626 563 917</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行    号 ：305191064027</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联 系 人 ：魏金梅</w:t>
      </w:r>
    </w:p>
    <w:p>
      <w:pPr>
        <w:tabs>
          <w:tab w:val="left" w:pos="8460"/>
        </w:tabs>
        <w:spacing w:line="360" w:lineRule="auto"/>
        <w:ind w:firstLine="470" w:firstLineChars="196"/>
        <w:rPr>
          <w:rFonts w:ascii="宋体" w:hAnsi="宋体" w:eastAsia="宋体" w:cs="宋体"/>
        </w:rPr>
      </w:pPr>
      <w:r>
        <w:rPr>
          <w:rFonts w:hint="eastAsia" w:ascii="宋体" w:hAnsi="宋体" w:eastAsia="宋体" w:cs="宋体"/>
          <w:sz w:val="24"/>
          <w:szCs w:val="24"/>
        </w:rPr>
        <w:t>联系电话 ：0471-5989785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25" w:name="_Toc27797"/>
      <w:bookmarkStart w:id="26" w:name="_Toc1659"/>
      <w:bookmarkStart w:id="27" w:name="_Toc13484"/>
      <w:bookmarkStart w:id="28" w:name="_Toc32722"/>
      <w:bookmarkStart w:id="29" w:name="_Toc7571"/>
      <w:bookmarkStart w:id="30" w:name="_Toc369"/>
      <w:r>
        <w:rPr>
          <w:rFonts w:hint="eastAsia" w:ascii="宋体" w:hAnsi="宋体" w:eastAsia="宋体" w:cs="Times New Roman"/>
          <w:b/>
          <w:bCs/>
          <w:sz w:val="24"/>
          <w:szCs w:val="24"/>
        </w:rPr>
        <w:t>七、投标文件的递交及开标、评标时间</w:t>
      </w:r>
      <w:bookmarkEnd w:id="25"/>
      <w:bookmarkEnd w:id="26"/>
      <w:bookmarkEnd w:id="27"/>
      <w:bookmarkEnd w:id="28"/>
      <w:bookmarkEnd w:id="29"/>
      <w:bookmarkEnd w:id="30"/>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19</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w:t>
      </w:r>
      <w:r>
        <w:rPr>
          <w:rFonts w:hint="eastAsia" w:ascii="宋体" w:hAnsi="宋体" w:eastAsia="宋体" w:cs="宋体"/>
          <w:bCs/>
          <w:sz w:val="24"/>
        </w:rPr>
        <w:t>内蒙古自治区呼和浩特市金桥开发区嘉逸大厦北楼16层会议室。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sz w:val="24"/>
          <w:szCs w:val="24"/>
        </w:rPr>
      </w:pPr>
      <w:r>
        <w:rPr>
          <w:rFonts w:hint="eastAsia" w:ascii="宋体" w:hAnsi="宋体" w:eastAsia="宋体" w:cs="Times New Roman"/>
          <w:sz w:val="24"/>
          <w:szCs w:val="24"/>
        </w:rPr>
        <w:t>4、邮寄地址：</w:t>
      </w:r>
      <w:r>
        <w:rPr>
          <w:rFonts w:hint="eastAsia" w:ascii="宋体" w:hAnsi="宋体" w:eastAsia="宋体" w:cs="宋体"/>
          <w:sz w:val="24"/>
          <w:szCs w:val="24"/>
        </w:rPr>
        <w:t>内蒙古自治区呼和浩特市金桥开发区嘉逸大厦北楼16层招标部</w:t>
      </w:r>
    </w:p>
    <w:p>
      <w:pPr>
        <w:tabs>
          <w:tab w:val="left" w:pos="8460"/>
        </w:tabs>
        <w:spacing w:line="360" w:lineRule="auto"/>
        <w:ind w:firstLine="480" w:firstLineChars="200"/>
        <w:outlineLvl w:val="0"/>
        <w:rPr>
          <w:rFonts w:ascii="宋体" w:hAnsi="宋体" w:eastAsia="宋体" w:cs="宋体"/>
          <w:sz w:val="24"/>
          <w:szCs w:val="24"/>
        </w:rPr>
      </w:pPr>
      <w:bookmarkStart w:id="31" w:name="_Toc20507"/>
      <w:bookmarkStart w:id="32" w:name="_Toc28684"/>
      <w:bookmarkStart w:id="33" w:name="_Toc23820"/>
      <w:bookmarkStart w:id="34" w:name="_Toc22669"/>
      <w:bookmarkStart w:id="35" w:name="_Toc7133"/>
      <w:bookmarkStart w:id="36" w:name="_Toc18489"/>
      <w:bookmarkStart w:id="37" w:name="_Toc20166"/>
      <w:bookmarkStart w:id="38" w:name="_Toc20008"/>
      <w:bookmarkStart w:id="39" w:name="_Toc5815"/>
      <w:bookmarkStart w:id="40" w:name="_Toc20463"/>
      <w:bookmarkStart w:id="41" w:name="_Toc912"/>
      <w:bookmarkStart w:id="42" w:name="_Toc23711"/>
      <w:bookmarkStart w:id="43" w:name="_Toc16516"/>
      <w:bookmarkStart w:id="44" w:name="_Toc22654"/>
      <w:bookmarkStart w:id="45" w:name="_Toc15803"/>
      <w:bookmarkStart w:id="46" w:name="_Toc25224"/>
      <w:r>
        <w:rPr>
          <w:rFonts w:hint="eastAsia" w:ascii="宋体" w:hAnsi="宋体" w:eastAsia="宋体" w:cs="宋体"/>
          <w:sz w:val="24"/>
          <w:szCs w:val="24"/>
        </w:rPr>
        <w:t>收件人：</w:t>
      </w:r>
      <w:bookmarkEnd w:id="31"/>
      <w:bookmarkEnd w:id="32"/>
      <w:r>
        <w:rPr>
          <w:rFonts w:hint="eastAsia" w:ascii="宋体" w:hAnsi="宋体" w:eastAsia="宋体" w:cs="宋体"/>
          <w:sz w:val="24"/>
          <w:szCs w:val="24"/>
        </w:rPr>
        <w:t>魏金梅</w:t>
      </w:r>
      <w:bookmarkEnd w:id="33"/>
      <w:bookmarkEnd w:id="34"/>
      <w:bookmarkEnd w:id="35"/>
      <w:bookmarkEnd w:id="36"/>
      <w:bookmarkEnd w:id="37"/>
      <w:bookmarkEnd w:id="38"/>
      <w:bookmarkEnd w:id="39"/>
      <w:bookmarkEnd w:id="40"/>
      <w:bookmarkEnd w:id="41"/>
      <w:bookmarkEnd w:id="42"/>
      <w:bookmarkEnd w:id="43"/>
      <w:bookmarkEnd w:id="44"/>
      <w:bookmarkEnd w:id="45"/>
      <w:bookmarkEnd w:id="46"/>
    </w:p>
    <w:p>
      <w:pPr>
        <w:tabs>
          <w:tab w:val="left" w:pos="8460"/>
        </w:tabs>
        <w:spacing w:line="360" w:lineRule="auto"/>
        <w:ind w:firstLine="480" w:firstLineChars="200"/>
        <w:outlineLvl w:val="0"/>
        <w:rPr>
          <w:rFonts w:ascii="宋体" w:hAnsi="宋体" w:eastAsia="宋体" w:cs="Times New Roman"/>
          <w:sz w:val="24"/>
          <w:szCs w:val="24"/>
        </w:rPr>
      </w:pPr>
      <w:bookmarkStart w:id="47" w:name="_Toc20911"/>
      <w:bookmarkStart w:id="48" w:name="_Toc6785"/>
      <w:bookmarkStart w:id="49" w:name="_Toc20039"/>
      <w:bookmarkStart w:id="50" w:name="_Toc5490"/>
      <w:bookmarkStart w:id="51" w:name="_Toc16149"/>
      <w:bookmarkStart w:id="52" w:name="_Toc12746"/>
      <w:bookmarkStart w:id="53" w:name="_Toc16363"/>
      <w:bookmarkStart w:id="54" w:name="_Toc19418"/>
      <w:bookmarkStart w:id="55" w:name="_Toc416"/>
      <w:bookmarkStart w:id="56" w:name="_Toc4958"/>
      <w:bookmarkStart w:id="57" w:name="_Toc24079"/>
      <w:bookmarkStart w:id="58" w:name="_Toc11725"/>
      <w:bookmarkStart w:id="59" w:name="_Toc16370"/>
      <w:bookmarkStart w:id="60" w:name="_Toc11481"/>
      <w:bookmarkStart w:id="61" w:name="_Toc16001"/>
      <w:r>
        <w:rPr>
          <w:rFonts w:hint="eastAsia" w:ascii="宋体" w:hAnsi="宋体" w:eastAsia="宋体" w:cs="宋体"/>
          <w:sz w:val="24"/>
          <w:szCs w:val="24"/>
        </w:rPr>
        <w:t>联系电话：</w:t>
      </w:r>
      <w:bookmarkEnd w:id="47"/>
      <w:bookmarkEnd w:id="48"/>
      <w:r>
        <w:rPr>
          <w:rFonts w:hint="eastAsia" w:ascii="宋体" w:hAnsi="宋体" w:eastAsia="宋体" w:cs="宋体"/>
          <w:sz w:val="24"/>
          <w:szCs w:val="24"/>
        </w:rPr>
        <w:t>0471-5989785</w:t>
      </w:r>
      <w:bookmarkEnd w:id="49"/>
      <w:bookmarkEnd w:id="50"/>
      <w:bookmarkEnd w:id="51"/>
      <w:bookmarkEnd w:id="52"/>
      <w:bookmarkEnd w:id="53"/>
      <w:bookmarkEnd w:id="54"/>
      <w:bookmarkEnd w:id="55"/>
      <w:bookmarkEnd w:id="56"/>
      <w:bookmarkEnd w:id="57"/>
      <w:bookmarkEnd w:id="58"/>
      <w:bookmarkEnd w:id="59"/>
      <w:bookmarkEnd w:id="60"/>
      <w:bookmarkEnd w:id="61"/>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19</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w:t>
      </w:r>
    </w:p>
    <w:p>
      <w:pPr>
        <w:tabs>
          <w:tab w:val="left" w:pos="8460"/>
        </w:tabs>
        <w:spacing w:line="360" w:lineRule="auto"/>
        <w:ind w:firstLine="480" w:firstLineChars="200"/>
        <w:outlineLvl w:val="0"/>
        <w:rPr>
          <w:rFonts w:ascii="宋体" w:hAnsi="宋体" w:eastAsia="宋体" w:cs="Times New Roman"/>
          <w:sz w:val="24"/>
          <w:szCs w:val="24"/>
        </w:rPr>
      </w:pPr>
      <w:bookmarkStart w:id="62" w:name="_Toc6579"/>
      <w:bookmarkStart w:id="63" w:name="_Toc13149"/>
      <w:bookmarkStart w:id="64" w:name="_Toc29082"/>
      <w:bookmarkStart w:id="65" w:name="_Toc31037"/>
      <w:bookmarkStart w:id="66" w:name="_Toc32079"/>
      <w:bookmarkStart w:id="67" w:name="_Toc10113"/>
      <w:bookmarkStart w:id="68" w:name="_Toc17941"/>
      <w:bookmarkStart w:id="69" w:name="_Toc11803"/>
      <w:bookmarkStart w:id="70" w:name="_Toc30844"/>
      <w:bookmarkStart w:id="71" w:name="_Toc22726"/>
      <w:bookmarkStart w:id="72" w:name="_Toc10036"/>
      <w:bookmarkStart w:id="73" w:name="_Toc16607"/>
      <w:bookmarkStart w:id="74" w:name="_Toc23649"/>
      <w:bookmarkStart w:id="75" w:name="_Toc25460"/>
      <w:bookmarkStart w:id="76" w:name="_Toc28402"/>
      <w:bookmarkStart w:id="77" w:name="_Toc5086"/>
      <w:r>
        <w:rPr>
          <w:rFonts w:hint="eastAsia" w:ascii="宋体" w:hAnsi="宋体" w:eastAsia="宋体" w:cs="Times New Roman"/>
          <w:sz w:val="24"/>
          <w:szCs w:val="24"/>
        </w:rPr>
        <w:t>（五）开标地点：同“递交地点”。</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pPr>
        <w:tabs>
          <w:tab w:val="left" w:pos="8460"/>
        </w:tabs>
        <w:spacing w:line="360" w:lineRule="auto"/>
        <w:ind w:firstLine="480" w:firstLineChars="200"/>
        <w:outlineLvl w:val="0"/>
        <w:rPr>
          <w:rFonts w:ascii="宋体" w:hAnsi="宋体" w:eastAsia="宋体" w:cs="Times New Roman"/>
          <w:sz w:val="24"/>
          <w:szCs w:val="24"/>
        </w:rPr>
      </w:pPr>
      <w:bookmarkStart w:id="78" w:name="_Toc14473"/>
      <w:bookmarkStart w:id="79" w:name="_Toc24627"/>
      <w:bookmarkStart w:id="80" w:name="_Toc6572"/>
      <w:bookmarkStart w:id="81" w:name="_Toc22623"/>
      <w:bookmarkStart w:id="82" w:name="_Toc27262"/>
      <w:bookmarkStart w:id="83" w:name="_Toc19396"/>
      <w:bookmarkStart w:id="84" w:name="_Toc26788"/>
      <w:bookmarkStart w:id="85" w:name="_Toc28629"/>
      <w:bookmarkStart w:id="86" w:name="_Toc6958"/>
      <w:bookmarkStart w:id="87" w:name="_Toc7183"/>
      <w:bookmarkStart w:id="88" w:name="_Toc9901"/>
      <w:bookmarkStart w:id="89" w:name="_Toc9472"/>
      <w:bookmarkStart w:id="90" w:name="_Toc14128"/>
      <w:bookmarkStart w:id="91" w:name="_Toc17885"/>
      <w:bookmarkStart w:id="92" w:name="_Toc15269"/>
      <w:bookmarkStart w:id="93" w:name="_Toc14305"/>
      <w:r>
        <w:rPr>
          <w:rFonts w:hint="eastAsia" w:ascii="宋体" w:hAnsi="宋体" w:eastAsia="宋体" w:cs="Times New Roman"/>
          <w:sz w:val="24"/>
          <w:szCs w:val="24"/>
        </w:rPr>
        <w:t>（六）评标时间：</w:t>
      </w:r>
      <w:bookmarkEnd w:id="78"/>
      <w:bookmarkEnd w:id="79"/>
      <w:bookmarkEnd w:id="80"/>
      <w:bookmarkEnd w:id="81"/>
      <w:bookmarkEnd w:id="82"/>
      <w:bookmarkEnd w:id="83"/>
      <w:bookmarkEnd w:id="84"/>
      <w:bookmarkEnd w:id="85"/>
      <w:bookmarkEnd w:id="86"/>
      <w:bookmarkEnd w:id="87"/>
      <w:bookmarkEnd w:id="88"/>
      <w:bookmarkEnd w:id="89"/>
      <w:bookmarkEnd w:id="90"/>
      <w:r>
        <w:rPr>
          <w:rFonts w:hint="eastAsia" w:ascii="宋体" w:hAnsi="宋体" w:eastAsia="宋体" w:cs="Times New Roman"/>
          <w:sz w:val="24"/>
          <w:szCs w:val="24"/>
        </w:rPr>
        <w:t>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19</w:t>
      </w:r>
      <w:r>
        <w:rPr>
          <w:rFonts w:hint="eastAsia" w:ascii="宋体" w:hAnsi="宋体" w:eastAsia="宋体" w:cs="Times New Roman"/>
          <w:sz w:val="24"/>
          <w:szCs w:val="24"/>
        </w:rPr>
        <w:t>日</w:t>
      </w:r>
      <w:bookmarkEnd w:id="91"/>
      <w:bookmarkEnd w:id="92"/>
      <w:bookmarkEnd w:id="93"/>
    </w:p>
    <w:p>
      <w:pPr>
        <w:tabs>
          <w:tab w:val="left" w:pos="8460"/>
        </w:tabs>
        <w:spacing w:line="360" w:lineRule="auto"/>
        <w:ind w:firstLine="480" w:firstLineChars="200"/>
        <w:outlineLvl w:val="0"/>
        <w:rPr>
          <w:rFonts w:ascii="宋体" w:hAnsi="宋体" w:eastAsia="宋体" w:cs="Times New Roman"/>
          <w:sz w:val="24"/>
          <w:szCs w:val="24"/>
        </w:rPr>
      </w:pPr>
      <w:bookmarkStart w:id="94" w:name="_Toc22934"/>
      <w:bookmarkStart w:id="95" w:name="_Toc13288"/>
      <w:bookmarkStart w:id="96" w:name="_Toc26227"/>
      <w:bookmarkStart w:id="97" w:name="_Toc31915"/>
      <w:bookmarkStart w:id="98" w:name="_Toc24140"/>
      <w:bookmarkStart w:id="99" w:name="_Toc387"/>
      <w:bookmarkStart w:id="100" w:name="_Toc32043"/>
      <w:bookmarkStart w:id="101" w:name="_Toc27909"/>
      <w:bookmarkStart w:id="102" w:name="_Toc16890"/>
      <w:bookmarkStart w:id="103" w:name="_Toc7470"/>
      <w:bookmarkStart w:id="104" w:name="_Toc22713"/>
      <w:bookmarkStart w:id="105" w:name="_Toc12130"/>
      <w:bookmarkStart w:id="106" w:name="_Toc32621"/>
      <w:bookmarkStart w:id="107" w:name="_Toc12710"/>
      <w:bookmarkStart w:id="108" w:name="_Toc27845"/>
      <w:bookmarkStart w:id="109" w:name="_Toc13740"/>
      <w:r>
        <w:rPr>
          <w:rFonts w:hint="eastAsia" w:ascii="宋体" w:hAnsi="宋体" w:eastAsia="宋体" w:cs="Times New Roman"/>
          <w:sz w:val="24"/>
          <w:szCs w:val="24"/>
        </w:rPr>
        <w:t>（七）评标地点： 同“递交地点”。</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r>
        <w:rPr>
          <w:rFonts w:hint="eastAsia" w:ascii="宋体" w:hAnsi="宋体" w:eastAsia="宋体" w:cs="Times New Roman"/>
          <w:sz w:val="24"/>
          <w:szCs w:val="24"/>
        </w:rPr>
        <w:t xml:space="preserve"> </w:t>
      </w:r>
    </w:p>
    <w:p>
      <w:pPr>
        <w:tabs>
          <w:tab w:val="left" w:pos="8460"/>
        </w:tabs>
        <w:spacing w:line="360" w:lineRule="auto"/>
        <w:ind w:firstLine="482" w:firstLineChars="200"/>
        <w:outlineLvl w:val="0"/>
        <w:rPr>
          <w:rFonts w:ascii="宋体" w:hAnsi="宋体" w:eastAsia="宋体" w:cs="Times New Roman"/>
          <w:b/>
          <w:bCs/>
          <w:sz w:val="24"/>
          <w:szCs w:val="24"/>
        </w:rPr>
      </w:pPr>
      <w:bookmarkStart w:id="110" w:name="_Toc29427"/>
      <w:bookmarkStart w:id="111" w:name="_Toc19779"/>
      <w:bookmarkStart w:id="112" w:name="_Toc22268"/>
      <w:r>
        <w:rPr>
          <w:rFonts w:hint="eastAsia" w:ascii="宋体" w:hAnsi="宋体" w:eastAsia="宋体" w:cs="Times New Roman"/>
          <w:b/>
          <w:bCs/>
          <w:sz w:val="24"/>
          <w:szCs w:val="24"/>
        </w:rPr>
        <w:t>八、联系方式</w:t>
      </w:r>
      <w:bookmarkEnd w:id="110"/>
      <w:bookmarkEnd w:id="111"/>
      <w:bookmarkEnd w:id="112"/>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w:t>
      </w:r>
      <w:r>
        <w:rPr>
          <w:rFonts w:hint="eastAsia" w:ascii="宋体" w:hAnsi="宋体" w:eastAsia="宋体" w:cs="宋体"/>
          <w:sz w:val="24"/>
          <w:szCs w:val="24"/>
        </w:rPr>
        <w:t xml:space="preserve">北京华诚永信工程管理有限公司 </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联 系 人： 魏金梅</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 xml:space="preserve">电    话：0471-5989785 </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 xml:space="preserve">邮    箱：bjhcyxzbwjm@163.com  </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 xml:space="preserve">招标代理机构：北京华诚永信工程管理有限公司 </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hint="eastAsia" w:ascii="宋体" w:hAnsi="宋体" w:eastAsia="宋体" w:cs="Times New Roman"/>
          <w:sz w:val="24"/>
          <w:szCs w:val="24"/>
          <w:lang w:eastAsia="zh-CN"/>
        </w:rPr>
      </w:pPr>
      <w:r>
        <w:rPr>
          <w:rFonts w:hint="eastAsia" w:ascii="宋体" w:hAnsi="宋体" w:eastAsia="宋体" w:cs="Times New Roman"/>
          <w:sz w:val="24"/>
          <w:szCs w:val="24"/>
        </w:rPr>
        <w:t>日    期：</w:t>
      </w:r>
      <w:r>
        <w:rPr>
          <w:rFonts w:hint="eastAsia" w:ascii="宋体" w:hAnsi="宋体" w:eastAsia="宋体" w:cs="Times New Roman"/>
          <w:sz w:val="24"/>
          <w:szCs w:val="24"/>
          <w:lang w:eastAsia="zh-CN"/>
        </w:rPr>
        <w:t>2024年05月2</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lang w:eastAsia="zh-CN"/>
        </w:rPr>
        <w:t>日</w:t>
      </w:r>
    </w:p>
    <w:p>
      <w:pPr>
        <w:spacing w:line="360" w:lineRule="auto"/>
        <w:rPr>
          <w:rFonts w:ascii="宋体" w:hAnsi="宋体" w:eastAsia="宋体" w:cs="Times New Roman"/>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rPr>
          <w:rFonts w:ascii="宋体" w:hAnsi="宋体" w:eastAsia="宋体" w:cs="Times New Roman"/>
          <w:b/>
          <w:sz w:val="24"/>
          <w:szCs w:val="24"/>
        </w:rPr>
      </w:pPr>
      <w:r>
        <w:rPr>
          <w:rFonts w:hint="eastAsia" w:ascii="宋体" w:hAnsi="宋体" w:eastAsia="宋体" w:cs="Times New Roman"/>
          <w:b/>
          <w:sz w:val="24"/>
          <w:szCs w:val="24"/>
        </w:rPr>
        <w:br w:type="page"/>
      </w: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法定代表人、主要负责人身份证明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hint="eastAsia" w:ascii="宋体" w:hAnsi="宋体" w:eastAsia="宋体" w:cs="Times New Roman"/>
          <w:b/>
          <w:bCs/>
          <w:sz w:val="30"/>
          <w:szCs w:val="30"/>
        </w:rPr>
      </w:pPr>
      <w:r>
        <w:rPr>
          <w:rFonts w:hint="eastAsia" w:ascii="宋体" w:hAnsi="宋体" w:eastAsia="宋体" w:cs="Times New Roman"/>
          <w:b/>
          <w:bCs/>
          <w:sz w:val="30"/>
          <w:szCs w:val="30"/>
        </w:rPr>
        <w:br w:type="page"/>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u w:val="single"/>
        </w:rPr>
        <w:t>委托人  （投标单位全称）</w:t>
      </w: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（姓名）</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（项目名称）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jc w:val="left"/>
        <w:rPr>
          <w:rFonts w:ascii="宋体" w:hAnsi="宋体" w:eastAsia="宋体" w:cs="Times New Roman"/>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line="360" w:lineRule="auto"/>
        <w:jc w:val="left"/>
        <w:rPr>
          <w:rFonts w:ascii="宋体" w:hAnsi="宋体" w:eastAsia="宋体" w:cs="Times New Roman"/>
          <w:sz w:val="24"/>
          <w:szCs w:val="24"/>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45535320"/>
    <w:rsid w:val="451A1A9E"/>
    <w:rsid w:val="45535320"/>
    <w:rsid w:val="4AEE7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2765</Words>
  <Characters>3003</Characters>
  <Lines>0</Lines>
  <Paragraphs>0</Paragraphs>
  <TotalTime>0</TotalTime>
  <ScaleCrop>false</ScaleCrop>
  <LinksUpToDate>false</LinksUpToDate>
  <CharactersWithSpaces>3598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2024-05-27T03:42:00Z</dcterms:created>
  <dc:creator>标书</dc:creator>
  <cp:lastModifiedBy>标书</cp:lastModifiedBy>
  <dcterms:modified xsi:type="dcterms:W3CDTF">2024-05-29T02:10:17Z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F905D41E491C4F3CB2FF925F789DE59B_11</vt:lpwstr>
  </property>
</Properties>
</file>