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宋体" w:hAnsi="宋体" w:cs="宋体"/>
          <w:b/>
          <w:bCs/>
          <w:kern w:val="0"/>
          <w:sz w:val="30"/>
          <w:szCs w:val="30"/>
          <w:highlight w:val="none"/>
          <w:shd w:val="clear" w:color="auto" w:fill="FFFFFF"/>
        </w:rPr>
      </w:pPr>
      <w:r>
        <w:rPr>
          <w:rFonts w:hint="eastAsia" w:ascii="宋体" w:hAnsi="宋体" w:cs="宋体"/>
          <w:b/>
          <w:bCs/>
          <w:kern w:val="0"/>
          <w:sz w:val="30"/>
          <w:szCs w:val="30"/>
          <w:highlight w:val="none"/>
          <w:shd w:val="clear" w:color="auto" w:fill="FFFFFF"/>
        </w:rPr>
        <w:t>内蒙古昆明卷烟有限责任公司2024年烟用材料—（第一标包）烟用盒、条包装纸采购项目中标公示</w:t>
      </w:r>
    </w:p>
    <w:p>
      <w:pPr>
        <w:widowControl/>
        <w:spacing w:before="156" w:beforeLines="50" w:line="312" w:lineRule="auto"/>
        <w:ind w:firstLine="480" w:firstLineChars="200"/>
        <w:jc w:val="left"/>
        <w:rPr>
          <w:rFonts w:ascii="宋体" w:hAnsi="宋体" w:cs="宋体"/>
          <w:b/>
          <w:bCs/>
          <w:szCs w:val="24"/>
          <w:highlight w:val="none"/>
          <w:shd w:val="clear" w:color="auto" w:fill="FFFFFF"/>
        </w:rPr>
      </w:pPr>
      <w:r>
        <w:rPr>
          <w:rFonts w:hint="eastAsia" w:ascii="宋体" w:hAnsi="宋体" w:cs="宋体"/>
          <w:kern w:val="0"/>
          <w:sz w:val="24"/>
          <w:szCs w:val="24"/>
          <w:highlight w:val="none"/>
          <w:shd w:val="clear" w:color="auto" w:fill="FFFFFF"/>
        </w:rPr>
        <w:t>内蒙古昆明卷烟有限责任公司2024年烟用材料—（第一标包）烟用盒、条包装纸采购项目完成了开标、评标工作，根据招标文件和评标细则的规定，经全体评委认真评审，并经招标人同意，现将预中标人公示如下：</w:t>
      </w:r>
    </w:p>
    <w:p>
      <w:pPr>
        <w:widowControl/>
        <w:spacing w:line="312" w:lineRule="auto"/>
        <w:ind w:left="1698" w:leftChars="228" w:hanging="1219" w:hangingChars="508"/>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项目名称：</w:t>
      </w:r>
      <w:r>
        <w:rPr>
          <w:rFonts w:hint="eastAsia" w:ascii="宋体" w:hAnsi="宋体" w:cs="宋体"/>
          <w:spacing w:val="-2"/>
          <w:sz w:val="24"/>
          <w:highlight w:val="none"/>
        </w:rPr>
        <w:t>内蒙古昆明卷烟有限责任公司2024年烟用材料—（第一标包）烟用盒、条包装纸采购项目</w:t>
      </w:r>
    </w:p>
    <w:p>
      <w:pPr>
        <w:widowControl/>
        <w:spacing w:line="312" w:lineRule="auto"/>
        <w:ind w:firstLine="480" w:firstLineChars="200"/>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招标编号：TC249K4H7</w:t>
      </w:r>
    </w:p>
    <w:p>
      <w:pPr>
        <w:widowControl/>
        <w:spacing w:line="312" w:lineRule="auto"/>
        <w:ind w:firstLine="480" w:firstLineChars="200"/>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预中标内容：</w:t>
      </w:r>
    </w:p>
    <w:tbl>
      <w:tblPr>
        <w:tblStyle w:val="7"/>
        <w:tblW w:w="47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55"/>
        <w:gridCol w:w="1095"/>
        <w:gridCol w:w="819"/>
        <w:gridCol w:w="815"/>
        <w:gridCol w:w="702"/>
        <w:gridCol w:w="1982"/>
        <w:gridCol w:w="1200"/>
        <w:gridCol w:w="876"/>
        <w:gridCol w:w="1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453" w:type="pct"/>
            <w:tcMar>
              <w:left w:w="108" w:type="dxa"/>
              <w:right w:w="108" w:type="dxa"/>
            </w:tcMar>
            <w:vAlign w:val="center"/>
          </w:tcPr>
          <w:p>
            <w:pPr>
              <w:widowControl/>
              <w:jc w:val="center"/>
              <w:rPr>
                <w:rFonts w:hint="eastAsia" w:ascii="宋体" w:hAnsi="宋体" w:eastAsia="宋体" w:cs="宋体"/>
                <w:b/>
                <w:bCs w:val="0"/>
                <w:sz w:val="20"/>
                <w:szCs w:val="20"/>
                <w:highlight w:val="none"/>
              </w:rPr>
            </w:pPr>
            <w:r>
              <w:rPr>
                <w:rFonts w:hint="eastAsia" w:ascii="宋体" w:hAnsi="宋体" w:eastAsia="宋体" w:cs="宋体"/>
                <w:b/>
                <w:bCs w:val="0"/>
                <w:kern w:val="0"/>
                <w:sz w:val="20"/>
                <w:szCs w:val="20"/>
                <w:highlight w:val="none"/>
              </w:rPr>
              <w:t>品名</w:t>
            </w:r>
          </w:p>
        </w:tc>
        <w:tc>
          <w:tcPr>
            <w:tcW w:w="580" w:type="pct"/>
            <w:tcMar>
              <w:left w:w="108" w:type="dxa"/>
              <w:right w:w="108" w:type="dxa"/>
            </w:tcMar>
            <w:vAlign w:val="center"/>
          </w:tcPr>
          <w:p>
            <w:pPr>
              <w:widowControl/>
              <w:jc w:val="center"/>
              <w:rPr>
                <w:rFonts w:hint="eastAsia" w:ascii="宋体" w:hAnsi="宋体" w:eastAsia="宋体" w:cs="宋体"/>
                <w:b/>
                <w:bCs w:val="0"/>
                <w:sz w:val="20"/>
                <w:szCs w:val="20"/>
                <w:highlight w:val="none"/>
              </w:rPr>
            </w:pPr>
            <w:r>
              <w:rPr>
                <w:rFonts w:hint="eastAsia" w:ascii="宋体" w:hAnsi="宋体" w:eastAsia="宋体" w:cs="宋体"/>
                <w:b/>
                <w:bCs w:val="0"/>
                <w:kern w:val="0"/>
                <w:sz w:val="20"/>
                <w:szCs w:val="20"/>
                <w:highlight w:val="none"/>
              </w:rPr>
              <w:t>预中标人</w:t>
            </w:r>
          </w:p>
        </w:tc>
        <w:tc>
          <w:tcPr>
            <w:tcW w:w="434" w:type="pct"/>
            <w:tcMar>
              <w:left w:w="108" w:type="dxa"/>
              <w:right w:w="108" w:type="dxa"/>
            </w:tcMar>
            <w:vAlign w:val="center"/>
          </w:tcPr>
          <w:p>
            <w:pPr>
              <w:widowControl/>
              <w:jc w:val="center"/>
              <w:rPr>
                <w:rFonts w:hint="eastAsia" w:ascii="宋体" w:hAnsi="宋体" w:eastAsia="宋体" w:cs="宋体"/>
                <w:b/>
                <w:bCs w:val="0"/>
                <w:kern w:val="0"/>
                <w:sz w:val="20"/>
                <w:szCs w:val="20"/>
                <w:highlight w:val="none"/>
              </w:rPr>
            </w:pPr>
            <w:r>
              <w:rPr>
                <w:rFonts w:hint="eastAsia" w:ascii="宋体" w:hAnsi="宋体" w:eastAsia="宋体" w:cs="宋体"/>
                <w:b/>
                <w:bCs w:val="0"/>
                <w:kern w:val="0"/>
                <w:sz w:val="20"/>
                <w:szCs w:val="20"/>
                <w:highlight w:val="none"/>
              </w:rPr>
              <w:t>拟中标权重（%）</w:t>
            </w:r>
          </w:p>
        </w:tc>
        <w:tc>
          <w:tcPr>
            <w:tcW w:w="432" w:type="pct"/>
            <w:vAlign w:val="center"/>
          </w:tcPr>
          <w:p>
            <w:pPr>
              <w:widowControl/>
              <w:jc w:val="center"/>
              <w:rPr>
                <w:rFonts w:hint="eastAsia" w:ascii="宋体" w:hAnsi="宋体" w:eastAsia="宋体" w:cs="宋体"/>
                <w:b/>
                <w:bCs w:val="0"/>
                <w:kern w:val="0"/>
                <w:sz w:val="20"/>
                <w:szCs w:val="20"/>
                <w:highlight w:val="none"/>
              </w:rPr>
            </w:pPr>
            <w:r>
              <w:rPr>
                <w:rFonts w:hint="eastAsia" w:ascii="宋体" w:hAnsi="宋体" w:eastAsia="宋体" w:cs="宋体"/>
                <w:b/>
                <w:bCs w:val="0"/>
                <w:kern w:val="0"/>
                <w:sz w:val="20"/>
                <w:szCs w:val="20"/>
                <w:highlight w:val="none"/>
                <w:lang w:val="en-US" w:eastAsia="zh-CN"/>
              </w:rPr>
              <w:t xml:space="preserve">不含税投标单价（元/套） </w:t>
            </w:r>
          </w:p>
        </w:tc>
        <w:tc>
          <w:tcPr>
            <w:tcW w:w="372" w:type="pct"/>
            <w:vAlign w:val="center"/>
          </w:tcPr>
          <w:p>
            <w:pPr>
              <w:widowControl/>
              <w:jc w:val="center"/>
              <w:rPr>
                <w:rFonts w:hint="eastAsia" w:ascii="宋体" w:hAnsi="宋体" w:eastAsia="宋体" w:cs="宋体"/>
                <w:b/>
                <w:bCs w:val="0"/>
                <w:kern w:val="0"/>
                <w:sz w:val="20"/>
                <w:szCs w:val="20"/>
                <w:highlight w:val="none"/>
              </w:rPr>
            </w:pPr>
            <w:r>
              <w:rPr>
                <w:rFonts w:hint="eastAsia" w:ascii="宋体" w:hAnsi="宋体" w:eastAsia="宋体" w:cs="宋体"/>
                <w:b/>
                <w:bCs w:val="0"/>
                <w:kern w:val="0"/>
                <w:sz w:val="20"/>
                <w:szCs w:val="20"/>
                <w:highlight w:val="none"/>
              </w:rPr>
              <w:t>税率(%)</w:t>
            </w:r>
          </w:p>
        </w:tc>
        <w:tc>
          <w:tcPr>
            <w:tcW w:w="1050" w:type="pct"/>
            <w:vAlign w:val="center"/>
          </w:tcPr>
          <w:p>
            <w:pPr>
              <w:widowControl/>
              <w:jc w:val="center"/>
              <w:rPr>
                <w:rFonts w:hint="eastAsia" w:ascii="宋体" w:hAnsi="宋体" w:eastAsia="宋体" w:cs="宋体"/>
                <w:b/>
                <w:bCs w:val="0"/>
                <w:kern w:val="0"/>
                <w:sz w:val="20"/>
                <w:szCs w:val="20"/>
                <w:highlight w:val="none"/>
              </w:rPr>
            </w:pPr>
            <w:r>
              <w:rPr>
                <w:rFonts w:hint="eastAsia" w:ascii="宋体" w:hAnsi="宋体" w:eastAsia="宋体" w:cs="宋体"/>
                <w:b/>
                <w:bCs w:val="0"/>
                <w:kern w:val="0"/>
                <w:sz w:val="20"/>
                <w:szCs w:val="20"/>
                <w:highlight w:val="none"/>
              </w:rPr>
              <w:t>交货时间</w:t>
            </w:r>
          </w:p>
        </w:tc>
        <w:tc>
          <w:tcPr>
            <w:tcW w:w="636" w:type="pct"/>
            <w:vAlign w:val="center"/>
          </w:tcPr>
          <w:p>
            <w:pPr>
              <w:widowControl/>
              <w:jc w:val="center"/>
              <w:rPr>
                <w:rFonts w:hint="eastAsia" w:ascii="宋体" w:hAnsi="宋体" w:eastAsia="宋体" w:cs="宋体"/>
                <w:b/>
                <w:bCs w:val="0"/>
                <w:kern w:val="0"/>
                <w:sz w:val="20"/>
                <w:szCs w:val="20"/>
                <w:highlight w:val="none"/>
              </w:rPr>
            </w:pPr>
            <w:r>
              <w:rPr>
                <w:rFonts w:hint="eastAsia" w:ascii="宋体" w:hAnsi="宋体" w:eastAsia="宋体" w:cs="宋体"/>
                <w:b/>
                <w:bCs w:val="0"/>
                <w:kern w:val="0"/>
                <w:sz w:val="20"/>
                <w:szCs w:val="20"/>
                <w:highlight w:val="none"/>
                <w:shd w:val="clear" w:color="auto" w:fill="FFFFFF"/>
              </w:rPr>
              <w:t>合同期限</w:t>
            </w:r>
          </w:p>
        </w:tc>
        <w:tc>
          <w:tcPr>
            <w:tcW w:w="464" w:type="pct"/>
            <w:vAlign w:val="center"/>
          </w:tcPr>
          <w:p>
            <w:pPr>
              <w:widowControl/>
              <w:jc w:val="center"/>
              <w:rPr>
                <w:rFonts w:hint="eastAsia" w:ascii="宋体" w:hAnsi="宋体" w:eastAsia="宋体" w:cs="宋体"/>
                <w:b/>
                <w:bCs w:val="0"/>
                <w:kern w:val="0"/>
                <w:sz w:val="20"/>
                <w:szCs w:val="20"/>
                <w:highlight w:val="none"/>
              </w:rPr>
            </w:pPr>
            <w:r>
              <w:rPr>
                <w:rFonts w:hint="eastAsia" w:ascii="宋体" w:hAnsi="宋体" w:eastAsia="宋体" w:cs="宋体"/>
                <w:b/>
                <w:bCs w:val="0"/>
                <w:kern w:val="0"/>
                <w:sz w:val="20"/>
                <w:szCs w:val="20"/>
                <w:highlight w:val="none"/>
                <w:shd w:val="clear" w:color="auto" w:fill="FFFFFF"/>
              </w:rPr>
              <w:t>交货地点</w:t>
            </w:r>
          </w:p>
        </w:tc>
        <w:tc>
          <w:tcPr>
            <w:tcW w:w="576" w:type="pct"/>
            <w:vAlign w:val="center"/>
          </w:tcPr>
          <w:p>
            <w:pPr>
              <w:widowControl/>
              <w:jc w:val="center"/>
              <w:rPr>
                <w:rFonts w:hint="eastAsia" w:ascii="宋体" w:hAnsi="宋体" w:eastAsia="宋体" w:cs="宋体"/>
                <w:b/>
                <w:bCs w:val="0"/>
                <w:kern w:val="0"/>
                <w:sz w:val="20"/>
                <w:szCs w:val="20"/>
                <w:highlight w:val="none"/>
              </w:rPr>
            </w:pPr>
            <w:r>
              <w:rPr>
                <w:rFonts w:hint="eastAsia" w:ascii="宋体" w:hAnsi="宋体" w:eastAsia="宋体" w:cs="宋体"/>
                <w:b/>
                <w:bCs w:val="0"/>
                <w:kern w:val="0"/>
                <w:sz w:val="20"/>
                <w:szCs w:val="20"/>
                <w:highlight w:val="none"/>
                <w:shd w:val="clear" w:color="auto" w:fill="FFFFFF"/>
              </w:rPr>
              <w:t>付款方式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453" w:type="pct"/>
            <w:vMerge w:val="restart"/>
            <w:tcMar>
              <w:left w:w="108" w:type="dxa"/>
              <w:right w:w="108" w:type="dxa"/>
            </w:tcMar>
            <w:vAlign w:val="center"/>
          </w:tcPr>
          <w:p>
            <w:pPr>
              <w:widowControl/>
              <w:jc w:val="center"/>
              <w:textAlignment w:val="center"/>
              <w:rPr>
                <w:rFonts w:hint="eastAsia" w:ascii="宋体" w:hAnsi="宋体" w:eastAsia="宋体" w:cs="宋体"/>
                <w:b w:val="0"/>
                <w:bCs/>
                <w:sz w:val="20"/>
                <w:szCs w:val="20"/>
                <w:highlight w:val="none"/>
                <w:lang w:val="en-US" w:eastAsia="zh-CN"/>
              </w:rPr>
            </w:pPr>
            <w:r>
              <w:rPr>
                <w:rFonts w:hint="eastAsia" w:ascii="宋体" w:hAnsi="宋体" w:eastAsia="宋体" w:cs="宋体"/>
                <w:b w:val="0"/>
                <w:bCs/>
                <w:sz w:val="20"/>
                <w:szCs w:val="20"/>
                <w:highlight w:val="none"/>
                <w:lang w:val="en-US" w:eastAsia="zh-CN"/>
              </w:rPr>
              <w:t>冬虫夏草（岁悦细支）盒、条包装纸</w:t>
            </w:r>
          </w:p>
        </w:tc>
        <w:tc>
          <w:tcPr>
            <w:tcW w:w="580" w:type="pct"/>
            <w:tcMar>
              <w:left w:w="108" w:type="dxa"/>
              <w:right w:w="108" w:type="dxa"/>
            </w:tcMar>
            <w:vAlign w:val="center"/>
          </w:tcPr>
          <w:p>
            <w:pPr>
              <w:widowControl/>
              <w:jc w:val="center"/>
              <w:textAlignment w:val="center"/>
              <w:rPr>
                <w:rFonts w:hint="eastAsia" w:ascii="宋体" w:hAnsi="宋体" w:eastAsia="宋体" w:cs="宋体"/>
                <w:b w:val="0"/>
                <w:bCs/>
                <w:sz w:val="20"/>
                <w:szCs w:val="20"/>
                <w:highlight w:val="none"/>
                <w:lang w:val="en-US" w:eastAsia="zh-CN"/>
              </w:rPr>
            </w:pPr>
            <w:r>
              <w:rPr>
                <w:rFonts w:hint="eastAsia" w:ascii="宋体" w:hAnsi="宋体" w:eastAsia="宋体" w:cs="宋体"/>
                <w:b w:val="0"/>
                <w:bCs/>
                <w:sz w:val="20"/>
                <w:szCs w:val="20"/>
                <w:highlight w:val="none"/>
                <w:lang w:val="en-US" w:eastAsia="zh-CN"/>
              </w:rPr>
              <w:t>北京黎马敦太平洋包装有限公司</w:t>
            </w:r>
          </w:p>
        </w:tc>
        <w:tc>
          <w:tcPr>
            <w:tcW w:w="434" w:type="pct"/>
            <w:tcMar>
              <w:left w:w="108" w:type="dxa"/>
              <w:right w:w="108" w:type="dxa"/>
            </w:tcMar>
            <w:vAlign w:val="center"/>
          </w:tcPr>
          <w:p>
            <w:pPr>
              <w:widowControl/>
              <w:jc w:val="center"/>
              <w:textAlignment w:val="center"/>
              <w:rPr>
                <w:rFonts w:hint="default" w:ascii="宋体" w:hAnsi="宋体" w:eastAsia="宋体" w:cs="宋体"/>
                <w:b w:val="0"/>
                <w:bCs/>
                <w:sz w:val="20"/>
                <w:szCs w:val="20"/>
                <w:highlight w:val="none"/>
                <w:lang w:val="en-US" w:eastAsia="zh-CN"/>
              </w:rPr>
            </w:pPr>
            <w:r>
              <w:rPr>
                <w:rFonts w:hint="eastAsia" w:ascii="宋体" w:hAnsi="宋体" w:cs="宋体"/>
                <w:b w:val="0"/>
                <w:bCs/>
                <w:sz w:val="20"/>
                <w:szCs w:val="20"/>
                <w:highlight w:val="none"/>
                <w:lang w:val="en-US" w:eastAsia="zh-CN"/>
              </w:rPr>
              <w:t>34</w:t>
            </w:r>
          </w:p>
        </w:tc>
        <w:tc>
          <w:tcPr>
            <w:tcW w:w="432" w:type="pct"/>
            <w:vAlign w:val="center"/>
          </w:tcPr>
          <w:p>
            <w:pPr>
              <w:keepNext w:val="0"/>
              <w:keepLines w:val="0"/>
              <w:widowControl/>
              <w:suppressLineNumbers w:val="0"/>
              <w:jc w:val="center"/>
              <w:textAlignment w:val="center"/>
              <w:rPr>
                <w:rFonts w:hint="eastAsia" w:ascii="宋体" w:hAnsi="宋体" w:eastAsia="宋体" w:cs="宋体"/>
                <w:b w:val="0"/>
                <w:bCs/>
                <w:i w:val="0"/>
                <w:iCs w:val="0"/>
                <w:color w:val="auto"/>
                <w:kern w:val="2"/>
                <w:sz w:val="20"/>
                <w:szCs w:val="20"/>
                <w:highlight w:val="none"/>
                <w:u w:val="none"/>
                <w:lang w:val="en-US" w:eastAsia="zh-CN" w:bidi="ar-SA"/>
              </w:rPr>
            </w:pPr>
            <w:r>
              <w:rPr>
                <w:rFonts w:hint="eastAsia" w:ascii="宋体" w:hAnsi="宋体" w:eastAsia="宋体" w:cs="宋体"/>
                <w:b w:val="0"/>
                <w:bCs w:val="0"/>
                <w:i w:val="0"/>
                <w:color w:val="auto"/>
                <w:kern w:val="0"/>
                <w:sz w:val="21"/>
                <w:szCs w:val="21"/>
                <w:highlight w:val="none"/>
                <w:u w:val="none"/>
                <w:lang w:val="en-US" w:eastAsia="zh-CN" w:bidi="ar"/>
              </w:rPr>
              <w:t>4.8</w:t>
            </w:r>
            <w:r>
              <w:rPr>
                <w:rFonts w:hint="eastAsia" w:ascii="宋体" w:hAnsi="宋体" w:cs="宋体"/>
                <w:b w:val="0"/>
                <w:bCs w:val="0"/>
                <w:i w:val="0"/>
                <w:color w:val="auto"/>
                <w:kern w:val="0"/>
                <w:sz w:val="21"/>
                <w:szCs w:val="21"/>
                <w:highlight w:val="none"/>
                <w:u w:val="none"/>
                <w:lang w:val="en-US" w:eastAsia="zh-CN" w:bidi="ar"/>
              </w:rPr>
              <w:t>1</w:t>
            </w:r>
          </w:p>
        </w:tc>
        <w:tc>
          <w:tcPr>
            <w:tcW w:w="372" w:type="pct"/>
            <w:vAlign w:val="center"/>
          </w:tcPr>
          <w:p>
            <w:pPr>
              <w:widowControl/>
              <w:jc w:val="center"/>
              <w:textAlignment w:val="center"/>
              <w:rPr>
                <w:rFonts w:hint="eastAsia" w:ascii="宋体" w:hAnsi="宋体" w:eastAsia="宋体" w:cs="宋体"/>
                <w:b w:val="0"/>
                <w:bCs/>
                <w:sz w:val="20"/>
                <w:szCs w:val="20"/>
                <w:highlight w:val="none"/>
                <w:lang w:val="en-US" w:eastAsia="zh-CN"/>
              </w:rPr>
            </w:pPr>
            <w:r>
              <w:rPr>
                <w:rFonts w:hint="eastAsia" w:ascii="宋体" w:hAnsi="宋体" w:eastAsia="宋体" w:cs="宋体"/>
                <w:b w:val="0"/>
                <w:bCs/>
                <w:sz w:val="20"/>
                <w:szCs w:val="20"/>
                <w:highlight w:val="none"/>
                <w:lang w:val="en-US" w:eastAsia="zh-CN"/>
              </w:rPr>
              <w:t>13</w:t>
            </w:r>
          </w:p>
        </w:tc>
        <w:tc>
          <w:tcPr>
            <w:tcW w:w="1050"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合同签订后按照招标人要求分批次交货，为满足招标人柔性化生产的需求，投标人须按照订单约定的交货时间交货。</w:t>
            </w:r>
          </w:p>
        </w:tc>
        <w:tc>
          <w:tcPr>
            <w:tcW w:w="636"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自合同签订之日起至2025年12月31日。</w:t>
            </w:r>
          </w:p>
        </w:tc>
        <w:tc>
          <w:tcPr>
            <w:tcW w:w="464"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招标人指定地点。</w:t>
            </w:r>
          </w:p>
        </w:tc>
        <w:tc>
          <w:tcPr>
            <w:tcW w:w="576"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满足招标文件合同条款要求。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453" w:type="pct"/>
            <w:vMerge w:val="continue"/>
            <w:tcMar>
              <w:left w:w="108" w:type="dxa"/>
              <w:right w:w="108" w:type="dxa"/>
            </w:tcMar>
            <w:vAlign w:val="center"/>
          </w:tcPr>
          <w:p>
            <w:pPr>
              <w:widowControl/>
              <w:jc w:val="center"/>
              <w:textAlignment w:val="center"/>
              <w:rPr>
                <w:rFonts w:hint="eastAsia" w:ascii="宋体" w:hAnsi="宋体" w:eastAsia="宋体" w:cs="宋体"/>
                <w:b w:val="0"/>
                <w:bCs/>
                <w:sz w:val="20"/>
                <w:szCs w:val="20"/>
                <w:highlight w:val="none"/>
                <w:lang w:val="en-US" w:eastAsia="zh-CN"/>
              </w:rPr>
            </w:pPr>
          </w:p>
        </w:tc>
        <w:tc>
          <w:tcPr>
            <w:tcW w:w="580" w:type="pct"/>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b w:val="0"/>
                <w:bCs/>
                <w:sz w:val="20"/>
                <w:szCs w:val="20"/>
                <w:highlight w:val="none"/>
                <w:lang w:val="en-US" w:eastAsia="zh-CN"/>
              </w:rPr>
            </w:pPr>
            <w:r>
              <w:rPr>
                <w:rFonts w:hint="default" w:ascii="宋体" w:hAnsi="宋体" w:eastAsia="宋体" w:cs="宋体"/>
                <w:b w:val="0"/>
                <w:bCs w:val="0"/>
                <w:i w:val="0"/>
                <w:color w:val="auto"/>
                <w:kern w:val="0"/>
                <w:sz w:val="21"/>
                <w:szCs w:val="21"/>
                <w:highlight w:val="none"/>
                <w:u w:val="none"/>
                <w:lang w:val="en-US" w:eastAsia="zh-CN" w:bidi="ar"/>
              </w:rPr>
              <w:t>湛江卷烟包装材料印刷有限公司</w:t>
            </w:r>
          </w:p>
        </w:tc>
        <w:tc>
          <w:tcPr>
            <w:tcW w:w="434" w:type="pct"/>
            <w:tcMar>
              <w:left w:w="108" w:type="dxa"/>
              <w:right w:w="108" w:type="dxa"/>
            </w:tcMar>
            <w:vAlign w:val="center"/>
          </w:tcPr>
          <w:p>
            <w:pPr>
              <w:widowControl/>
              <w:jc w:val="center"/>
              <w:textAlignment w:val="center"/>
              <w:rPr>
                <w:rFonts w:hint="default" w:ascii="宋体" w:hAnsi="宋体" w:eastAsia="宋体" w:cs="宋体"/>
                <w:b w:val="0"/>
                <w:bCs/>
                <w:sz w:val="20"/>
                <w:szCs w:val="20"/>
                <w:highlight w:val="none"/>
                <w:lang w:val="en-US" w:eastAsia="zh-CN"/>
              </w:rPr>
            </w:pPr>
            <w:r>
              <w:rPr>
                <w:rFonts w:hint="eastAsia" w:ascii="宋体" w:hAnsi="宋体" w:cs="宋体"/>
                <w:b w:val="0"/>
                <w:bCs/>
                <w:sz w:val="20"/>
                <w:szCs w:val="20"/>
                <w:highlight w:val="none"/>
                <w:lang w:val="en-US" w:eastAsia="zh-CN"/>
              </w:rPr>
              <w:t>33</w:t>
            </w:r>
          </w:p>
        </w:tc>
        <w:tc>
          <w:tcPr>
            <w:tcW w:w="432" w:type="pct"/>
            <w:vAlign w:val="center"/>
          </w:tcPr>
          <w:p>
            <w:pPr>
              <w:keepNext w:val="0"/>
              <w:keepLines w:val="0"/>
              <w:widowControl/>
              <w:suppressLineNumbers w:val="0"/>
              <w:jc w:val="center"/>
              <w:textAlignment w:val="center"/>
              <w:rPr>
                <w:rFonts w:hint="eastAsia" w:ascii="宋体" w:hAnsi="宋体" w:eastAsia="宋体" w:cs="宋体"/>
                <w:b w:val="0"/>
                <w:bCs/>
                <w:i w:val="0"/>
                <w:iCs w:val="0"/>
                <w:color w:val="auto"/>
                <w:kern w:val="2"/>
                <w:sz w:val="20"/>
                <w:szCs w:val="20"/>
                <w:highlight w:val="none"/>
                <w:u w:val="none"/>
                <w:lang w:val="en-US" w:eastAsia="zh-CN" w:bidi="ar-SA"/>
              </w:rPr>
            </w:pPr>
            <w:r>
              <w:rPr>
                <w:rFonts w:hint="eastAsia" w:ascii="宋体" w:hAnsi="宋体" w:eastAsia="宋体" w:cs="宋体"/>
                <w:b w:val="0"/>
                <w:bCs w:val="0"/>
                <w:i w:val="0"/>
                <w:color w:val="auto"/>
                <w:kern w:val="0"/>
                <w:sz w:val="21"/>
                <w:szCs w:val="21"/>
                <w:highlight w:val="none"/>
                <w:u w:val="none"/>
                <w:lang w:val="en-US" w:eastAsia="zh-CN" w:bidi="ar"/>
              </w:rPr>
              <w:t>4.81</w:t>
            </w:r>
          </w:p>
        </w:tc>
        <w:tc>
          <w:tcPr>
            <w:tcW w:w="372" w:type="pct"/>
            <w:vAlign w:val="center"/>
          </w:tcPr>
          <w:p>
            <w:pPr>
              <w:widowControl/>
              <w:jc w:val="center"/>
              <w:textAlignment w:val="center"/>
              <w:rPr>
                <w:rFonts w:hint="eastAsia" w:ascii="宋体" w:hAnsi="宋体" w:eastAsia="宋体" w:cs="宋体"/>
                <w:b w:val="0"/>
                <w:bCs/>
                <w:sz w:val="20"/>
                <w:szCs w:val="20"/>
                <w:highlight w:val="none"/>
              </w:rPr>
            </w:pPr>
            <w:r>
              <w:rPr>
                <w:rFonts w:hint="eastAsia" w:ascii="宋体" w:hAnsi="宋体" w:eastAsia="宋体" w:cs="宋体"/>
                <w:b w:val="0"/>
                <w:bCs/>
                <w:sz w:val="20"/>
                <w:szCs w:val="20"/>
                <w:highlight w:val="none"/>
                <w:lang w:val="en-US" w:eastAsia="zh-CN"/>
              </w:rPr>
              <w:t>13</w:t>
            </w:r>
          </w:p>
        </w:tc>
        <w:tc>
          <w:tcPr>
            <w:tcW w:w="1050"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合同签订后按照招标人要求分批次交货，为满足招标人柔性化生产的需求，投标人须按照订单约定的交货时间交货。</w:t>
            </w:r>
          </w:p>
        </w:tc>
        <w:tc>
          <w:tcPr>
            <w:tcW w:w="636"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自合同签订之日起至2025年12月31日。</w:t>
            </w:r>
          </w:p>
        </w:tc>
        <w:tc>
          <w:tcPr>
            <w:tcW w:w="464"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招标人指定地点。</w:t>
            </w:r>
          </w:p>
        </w:tc>
        <w:tc>
          <w:tcPr>
            <w:tcW w:w="576"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满足招标文件合同条款要求。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453" w:type="pct"/>
            <w:vMerge w:val="continue"/>
            <w:tcMar>
              <w:left w:w="108" w:type="dxa"/>
              <w:right w:w="108" w:type="dxa"/>
            </w:tcMar>
            <w:vAlign w:val="center"/>
          </w:tcPr>
          <w:p>
            <w:pPr>
              <w:widowControl/>
              <w:jc w:val="center"/>
              <w:textAlignment w:val="center"/>
              <w:rPr>
                <w:rFonts w:hint="eastAsia" w:ascii="宋体" w:hAnsi="宋体" w:eastAsia="宋体" w:cs="宋体"/>
                <w:b w:val="0"/>
                <w:bCs/>
                <w:sz w:val="20"/>
                <w:szCs w:val="20"/>
                <w:highlight w:val="none"/>
                <w:lang w:val="en-US" w:eastAsia="zh-CN"/>
              </w:rPr>
            </w:pPr>
          </w:p>
        </w:tc>
        <w:tc>
          <w:tcPr>
            <w:tcW w:w="580" w:type="pct"/>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b w:val="0"/>
                <w:bCs/>
                <w:sz w:val="20"/>
                <w:szCs w:val="20"/>
                <w:highlight w:val="none"/>
                <w:lang w:val="en-US" w:eastAsia="zh-CN"/>
              </w:rPr>
            </w:pPr>
            <w:r>
              <w:rPr>
                <w:rFonts w:hint="default" w:ascii="宋体" w:hAnsi="宋体" w:eastAsia="宋体" w:cs="宋体"/>
                <w:b w:val="0"/>
                <w:bCs w:val="0"/>
                <w:i w:val="0"/>
                <w:color w:val="auto"/>
                <w:kern w:val="0"/>
                <w:sz w:val="21"/>
                <w:szCs w:val="21"/>
                <w:highlight w:val="none"/>
                <w:u w:val="none"/>
                <w:lang w:val="en-US" w:eastAsia="zh-CN" w:bidi="ar"/>
              </w:rPr>
              <w:t>陕西金叶印务有限公司</w:t>
            </w:r>
          </w:p>
        </w:tc>
        <w:tc>
          <w:tcPr>
            <w:tcW w:w="434" w:type="pct"/>
            <w:tcMar>
              <w:left w:w="108" w:type="dxa"/>
              <w:right w:w="108" w:type="dxa"/>
            </w:tcMar>
            <w:vAlign w:val="center"/>
          </w:tcPr>
          <w:p>
            <w:pPr>
              <w:widowControl/>
              <w:jc w:val="center"/>
              <w:textAlignment w:val="center"/>
              <w:rPr>
                <w:rFonts w:hint="default" w:ascii="宋体" w:hAnsi="宋体" w:eastAsia="宋体" w:cs="宋体"/>
                <w:b w:val="0"/>
                <w:bCs/>
                <w:sz w:val="20"/>
                <w:szCs w:val="20"/>
                <w:highlight w:val="none"/>
                <w:lang w:val="en-US" w:eastAsia="zh-CN"/>
              </w:rPr>
            </w:pPr>
            <w:r>
              <w:rPr>
                <w:rFonts w:hint="eastAsia" w:ascii="宋体" w:hAnsi="宋体" w:cs="宋体"/>
                <w:b w:val="0"/>
                <w:bCs/>
                <w:sz w:val="20"/>
                <w:szCs w:val="20"/>
                <w:highlight w:val="none"/>
                <w:lang w:val="en-US" w:eastAsia="zh-CN"/>
              </w:rPr>
              <w:t>33</w:t>
            </w:r>
          </w:p>
        </w:tc>
        <w:tc>
          <w:tcPr>
            <w:tcW w:w="432" w:type="pct"/>
            <w:vAlign w:val="center"/>
          </w:tcPr>
          <w:p>
            <w:pPr>
              <w:keepNext w:val="0"/>
              <w:keepLines w:val="0"/>
              <w:widowControl/>
              <w:suppressLineNumbers w:val="0"/>
              <w:jc w:val="center"/>
              <w:textAlignment w:val="center"/>
              <w:rPr>
                <w:rFonts w:hint="eastAsia" w:ascii="宋体" w:hAnsi="宋体" w:eastAsia="宋体" w:cs="宋体"/>
                <w:b w:val="0"/>
                <w:bCs/>
                <w:i w:val="0"/>
                <w:iCs w:val="0"/>
                <w:color w:val="auto"/>
                <w:kern w:val="2"/>
                <w:sz w:val="20"/>
                <w:szCs w:val="20"/>
                <w:highlight w:val="none"/>
                <w:u w:val="none"/>
                <w:lang w:val="en-US" w:eastAsia="zh-CN" w:bidi="ar-SA"/>
              </w:rPr>
            </w:pPr>
            <w:r>
              <w:rPr>
                <w:rFonts w:hint="eastAsia" w:ascii="宋体" w:hAnsi="宋体" w:eastAsia="宋体" w:cs="宋体"/>
                <w:b w:val="0"/>
                <w:bCs w:val="0"/>
                <w:i w:val="0"/>
                <w:color w:val="auto"/>
                <w:kern w:val="0"/>
                <w:sz w:val="21"/>
                <w:szCs w:val="21"/>
                <w:highlight w:val="none"/>
                <w:u w:val="none"/>
                <w:lang w:val="en-US" w:eastAsia="zh-CN" w:bidi="ar"/>
              </w:rPr>
              <w:t>4.8</w:t>
            </w:r>
            <w:r>
              <w:rPr>
                <w:rFonts w:hint="eastAsia" w:ascii="宋体" w:hAnsi="宋体" w:cs="宋体"/>
                <w:b w:val="0"/>
                <w:bCs w:val="0"/>
                <w:i w:val="0"/>
                <w:color w:val="auto"/>
                <w:kern w:val="0"/>
                <w:sz w:val="21"/>
                <w:szCs w:val="21"/>
                <w:highlight w:val="none"/>
                <w:u w:val="none"/>
                <w:lang w:val="en-US" w:eastAsia="zh-CN" w:bidi="ar"/>
              </w:rPr>
              <w:t>1</w:t>
            </w:r>
          </w:p>
        </w:tc>
        <w:tc>
          <w:tcPr>
            <w:tcW w:w="372" w:type="pct"/>
            <w:vAlign w:val="center"/>
          </w:tcPr>
          <w:p>
            <w:pPr>
              <w:widowControl/>
              <w:jc w:val="center"/>
              <w:textAlignment w:val="center"/>
              <w:rPr>
                <w:rFonts w:hint="eastAsia" w:ascii="宋体" w:hAnsi="宋体" w:eastAsia="宋体" w:cs="宋体"/>
                <w:b w:val="0"/>
                <w:bCs/>
                <w:sz w:val="20"/>
                <w:szCs w:val="20"/>
                <w:highlight w:val="none"/>
              </w:rPr>
            </w:pPr>
            <w:r>
              <w:rPr>
                <w:rFonts w:hint="eastAsia" w:ascii="宋体" w:hAnsi="宋体" w:eastAsia="宋体" w:cs="宋体"/>
                <w:b w:val="0"/>
                <w:bCs/>
                <w:sz w:val="20"/>
                <w:szCs w:val="20"/>
                <w:highlight w:val="none"/>
                <w:lang w:val="en-US" w:eastAsia="zh-CN"/>
              </w:rPr>
              <w:t>13</w:t>
            </w:r>
          </w:p>
        </w:tc>
        <w:tc>
          <w:tcPr>
            <w:tcW w:w="1050"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合同签订后按照招标人要求分批次交货，为满足招标人柔性化生产的需求，投标人须按照订单约定的交货时间交货。</w:t>
            </w:r>
          </w:p>
        </w:tc>
        <w:tc>
          <w:tcPr>
            <w:tcW w:w="636"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自合同签订之日起至2025年12月31日。</w:t>
            </w:r>
          </w:p>
        </w:tc>
        <w:tc>
          <w:tcPr>
            <w:tcW w:w="464"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招标人指定地点。</w:t>
            </w:r>
          </w:p>
        </w:tc>
        <w:tc>
          <w:tcPr>
            <w:tcW w:w="576" w:type="pct"/>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满足招标文件合同条款要求。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19" w:hRule="atLeast"/>
          <w:jc w:val="center"/>
        </w:trPr>
        <w:tc>
          <w:tcPr>
            <w:tcW w:w="453" w:type="pct"/>
            <w:vMerge w:val="restart"/>
            <w:tcMar>
              <w:left w:w="108" w:type="dxa"/>
              <w:right w:w="108" w:type="dxa"/>
            </w:tcMar>
            <w:vAlign w:val="center"/>
          </w:tcPr>
          <w:p>
            <w:pPr>
              <w:widowControl/>
              <w:jc w:val="center"/>
              <w:textAlignment w:val="center"/>
              <w:rPr>
                <w:rFonts w:hint="eastAsia" w:ascii="宋体" w:hAnsi="宋体" w:eastAsia="宋体" w:cs="宋体"/>
                <w:b w:val="0"/>
                <w:bCs/>
                <w:sz w:val="20"/>
                <w:szCs w:val="20"/>
                <w:highlight w:val="none"/>
                <w:lang w:val="en-US" w:eastAsia="zh-CN"/>
              </w:rPr>
            </w:pPr>
            <w:r>
              <w:rPr>
                <w:rFonts w:hint="eastAsia" w:ascii="宋体" w:hAnsi="宋体" w:eastAsia="宋体" w:cs="宋体"/>
                <w:b w:val="0"/>
                <w:bCs w:val="0"/>
                <w:i w:val="0"/>
                <w:color w:val="auto"/>
                <w:kern w:val="0"/>
                <w:sz w:val="21"/>
                <w:szCs w:val="21"/>
                <w:highlight w:val="none"/>
                <w:u w:val="none"/>
                <w:lang w:val="en-US" w:eastAsia="zh-CN" w:bidi="ar"/>
              </w:rPr>
              <w:t>冬虫夏草（天边细支）盒、条包装纸</w:t>
            </w:r>
          </w:p>
        </w:tc>
        <w:tc>
          <w:tcPr>
            <w:tcW w:w="1108" w:type="dxa"/>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b w:val="0"/>
                <w:bCs/>
                <w:sz w:val="20"/>
                <w:szCs w:val="20"/>
                <w:highlight w:val="none"/>
                <w:lang w:val="en-US" w:eastAsia="zh-CN"/>
              </w:rPr>
            </w:pPr>
            <w:r>
              <w:rPr>
                <w:rFonts w:hint="default" w:ascii="宋体" w:hAnsi="宋体" w:eastAsia="宋体" w:cs="宋体"/>
                <w:b w:val="0"/>
                <w:bCs w:val="0"/>
                <w:i w:val="0"/>
                <w:color w:val="auto"/>
                <w:kern w:val="0"/>
                <w:sz w:val="21"/>
                <w:szCs w:val="21"/>
                <w:highlight w:val="none"/>
                <w:u w:val="none"/>
                <w:lang w:val="en-US" w:eastAsia="zh-CN" w:bidi="ar"/>
              </w:rPr>
              <w:t>北京黎马敦太平洋包装有限公司</w:t>
            </w:r>
          </w:p>
        </w:tc>
        <w:tc>
          <w:tcPr>
            <w:tcW w:w="434" w:type="pct"/>
            <w:tcMar>
              <w:left w:w="108" w:type="dxa"/>
              <w:right w:w="108" w:type="dxa"/>
            </w:tcMar>
            <w:vAlign w:val="center"/>
          </w:tcPr>
          <w:p>
            <w:pPr>
              <w:keepNext w:val="0"/>
              <w:keepLines w:val="0"/>
              <w:widowControl/>
              <w:suppressLineNumbers w:val="0"/>
              <w:jc w:val="center"/>
              <w:textAlignment w:val="center"/>
              <w:rPr>
                <w:rFonts w:hint="default" w:ascii="宋体" w:hAnsi="宋体" w:eastAsia="宋体" w:cs="宋体"/>
                <w:b w:val="0"/>
                <w:bCs/>
                <w:i w:val="0"/>
                <w:iCs w:val="0"/>
                <w:color w:val="auto"/>
                <w:kern w:val="2"/>
                <w:sz w:val="20"/>
                <w:szCs w:val="20"/>
                <w:highlight w:val="none"/>
                <w:u w:val="none"/>
                <w:lang w:val="en-US" w:eastAsia="zh-CN" w:bidi="ar-SA"/>
              </w:rPr>
            </w:pPr>
            <w:r>
              <w:rPr>
                <w:rFonts w:hint="eastAsia" w:ascii="宋体" w:hAnsi="宋体" w:cs="宋体"/>
                <w:b w:val="0"/>
                <w:bCs/>
                <w:i w:val="0"/>
                <w:iCs w:val="0"/>
                <w:color w:val="auto"/>
                <w:kern w:val="2"/>
                <w:sz w:val="20"/>
                <w:szCs w:val="20"/>
                <w:highlight w:val="none"/>
                <w:u w:val="none"/>
                <w:lang w:val="en-US" w:eastAsia="zh-CN" w:bidi="ar-SA"/>
              </w:rPr>
              <w:t>34</w:t>
            </w:r>
          </w:p>
        </w:tc>
        <w:tc>
          <w:tcPr>
            <w:tcW w:w="824" w:type="dxa"/>
            <w:vAlign w:val="center"/>
          </w:tcPr>
          <w:p>
            <w:pPr>
              <w:keepNext w:val="0"/>
              <w:keepLines w:val="0"/>
              <w:widowControl/>
              <w:suppressLineNumbers w:val="0"/>
              <w:jc w:val="center"/>
              <w:textAlignment w:val="center"/>
              <w:rPr>
                <w:rFonts w:hint="default" w:ascii="宋体" w:hAnsi="宋体" w:eastAsia="宋体" w:cs="宋体"/>
                <w:b w:val="0"/>
                <w:bCs/>
                <w:i w:val="0"/>
                <w:iCs w:val="0"/>
                <w:color w:val="auto"/>
                <w:kern w:val="2"/>
                <w:sz w:val="20"/>
                <w:szCs w:val="20"/>
                <w:highlight w:val="none"/>
                <w:u w:val="none"/>
                <w:lang w:val="en-US" w:eastAsia="zh-CN" w:bidi="ar-SA"/>
              </w:rPr>
            </w:pPr>
            <w:r>
              <w:rPr>
                <w:rFonts w:hint="eastAsia" w:ascii="宋体" w:hAnsi="宋体" w:cs="宋体"/>
                <w:b w:val="0"/>
                <w:bCs w:val="0"/>
                <w:i w:val="0"/>
                <w:color w:val="auto"/>
                <w:kern w:val="0"/>
                <w:sz w:val="21"/>
                <w:szCs w:val="21"/>
                <w:highlight w:val="none"/>
                <w:u w:val="none"/>
                <w:lang w:val="en-US" w:eastAsia="zh-CN" w:bidi="ar"/>
              </w:rPr>
              <w:t>4.79</w:t>
            </w:r>
          </w:p>
        </w:tc>
        <w:tc>
          <w:tcPr>
            <w:tcW w:w="711" w:type="dxa"/>
            <w:vAlign w:val="center"/>
          </w:tcPr>
          <w:p>
            <w:pPr>
              <w:keepNext w:val="0"/>
              <w:keepLines w:val="0"/>
              <w:widowControl/>
              <w:suppressLineNumbers w:val="0"/>
              <w:jc w:val="center"/>
              <w:textAlignment w:val="center"/>
              <w:rPr>
                <w:rFonts w:hint="eastAsia" w:ascii="宋体" w:hAnsi="宋体" w:eastAsia="宋体" w:cs="宋体"/>
                <w:b w:val="0"/>
                <w:bCs/>
                <w:sz w:val="20"/>
                <w:szCs w:val="20"/>
                <w:highlight w:val="none"/>
              </w:rPr>
            </w:pPr>
            <w:r>
              <w:rPr>
                <w:rFonts w:hint="eastAsia" w:ascii="宋体" w:hAnsi="宋体" w:eastAsia="宋体" w:cs="宋体"/>
                <w:b w:val="0"/>
                <w:bCs w:val="0"/>
                <w:i w:val="0"/>
                <w:color w:val="auto"/>
                <w:kern w:val="0"/>
                <w:sz w:val="21"/>
                <w:szCs w:val="21"/>
                <w:highlight w:val="none"/>
                <w:u w:val="none"/>
                <w:lang w:val="en-US" w:eastAsia="zh-CN" w:bidi="ar"/>
              </w:rPr>
              <w:t>13</w:t>
            </w:r>
          </w:p>
        </w:tc>
        <w:tc>
          <w:tcPr>
            <w:tcW w:w="1982"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合同签订后按照招标人要求分批次交货，为满足招标人柔性化生产的需求，投标人须按照订单约定的交货时间交货。</w:t>
            </w:r>
          </w:p>
        </w:tc>
        <w:tc>
          <w:tcPr>
            <w:tcW w:w="1200"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自合同签订之日起至2025年12月31日。</w:t>
            </w:r>
          </w:p>
        </w:tc>
        <w:tc>
          <w:tcPr>
            <w:tcW w:w="876"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招标人指定地点。</w:t>
            </w:r>
          </w:p>
        </w:tc>
        <w:tc>
          <w:tcPr>
            <w:tcW w:w="1093"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满足招标文件合同条款要求。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4" w:hRule="atLeast"/>
          <w:jc w:val="center"/>
        </w:trPr>
        <w:tc>
          <w:tcPr>
            <w:tcW w:w="453" w:type="pct"/>
            <w:vMerge w:val="continue"/>
            <w:tcMar>
              <w:left w:w="108" w:type="dxa"/>
              <w:right w:w="108" w:type="dxa"/>
            </w:tcMar>
            <w:vAlign w:val="center"/>
          </w:tcPr>
          <w:p>
            <w:pPr>
              <w:widowControl/>
              <w:jc w:val="center"/>
              <w:textAlignment w:val="center"/>
              <w:rPr>
                <w:rFonts w:hint="eastAsia" w:ascii="宋体" w:hAnsi="宋体" w:eastAsia="宋体" w:cs="宋体"/>
                <w:b w:val="0"/>
                <w:bCs/>
                <w:sz w:val="20"/>
                <w:szCs w:val="20"/>
                <w:highlight w:val="none"/>
                <w:lang w:val="en-US" w:eastAsia="zh-CN"/>
              </w:rPr>
            </w:pPr>
          </w:p>
        </w:tc>
        <w:tc>
          <w:tcPr>
            <w:tcW w:w="1108" w:type="dxa"/>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b w:val="0"/>
                <w:bCs/>
                <w:sz w:val="20"/>
                <w:szCs w:val="20"/>
                <w:highlight w:val="none"/>
                <w:lang w:val="en-US" w:eastAsia="zh-CN"/>
              </w:rPr>
            </w:pPr>
            <w:r>
              <w:rPr>
                <w:rFonts w:hint="default" w:ascii="宋体" w:hAnsi="宋体" w:eastAsia="宋体" w:cs="宋体"/>
                <w:b w:val="0"/>
                <w:bCs w:val="0"/>
                <w:i w:val="0"/>
                <w:color w:val="auto"/>
                <w:kern w:val="0"/>
                <w:sz w:val="21"/>
                <w:szCs w:val="21"/>
                <w:highlight w:val="none"/>
                <w:u w:val="none"/>
                <w:lang w:val="en-US" w:eastAsia="zh-CN" w:bidi="ar"/>
              </w:rPr>
              <w:t>湛江卷烟包装材料印刷有限公司</w:t>
            </w:r>
          </w:p>
        </w:tc>
        <w:tc>
          <w:tcPr>
            <w:tcW w:w="434" w:type="pct"/>
            <w:tcMar>
              <w:left w:w="108" w:type="dxa"/>
              <w:right w:w="108" w:type="dxa"/>
            </w:tcMar>
            <w:vAlign w:val="center"/>
          </w:tcPr>
          <w:p>
            <w:pPr>
              <w:keepNext w:val="0"/>
              <w:keepLines w:val="0"/>
              <w:widowControl/>
              <w:suppressLineNumbers w:val="0"/>
              <w:jc w:val="center"/>
              <w:textAlignment w:val="center"/>
              <w:rPr>
                <w:rFonts w:hint="default" w:ascii="宋体" w:hAnsi="宋体" w:eastAsia="宋体" w:cs="宋体"/>
                <w:b w:val="0"/>
                <w:bCs/>
                <w:i w:val="0"/>
                <w:iCs w:val="0"/>
                <w:color w:val="auto"/>
                <w:kern w:val="2"/>
                <w:sz w:val="20"/>
                <w:szCs w:val="20"/>
                <w:highlight w:val="none"/>
                <w:u w:val="none"/>
                <w:lang w:val="en-US" w:eastAsia="zh-CN" w:bidi="ar-SA"/>
              </w:rPr>
            </w:pPr>
            <w:r>
              <w:rPr>
                <w:rFonts w:hint="eastAsia" w:ascii="宋体" w:hAnsi="宋体" w:cs="宋体"/>
                <w:b w:val="0"/>
                <w:bCs/>
                <w:i w:val="0"/>
                <w:iCs w:val="0"/>
                <w:color w:val="auto"/>
                <w:kern w:val="2"/>
                <w:sz w:val="20"/>
                <w:szCs w:val="20"/>
                <w:highlight w:val="none"/>
                <w:u w:val="none"/>
                <w:lang w:val="en-US" w:eastAsia="zh-CN" w:bidi="ar-SA"/>
              </w:rPr>
              <w:t>33</w:t>
            </w:r>
          </w:p>
        </w:tc>
        <w:tc>
          <w:tcPr>
            <w:tcW w:w="824" w:type="dxa"/>
            <w:vAlign w:val="center"/>
          </w:tcPr>
          <w:p>
            <w:pPr>
              <w:keepNext w:val="0"/>
              <w:keepLines w:val="0"/>
              <w:widowControl/>
              <w:suppressLineNumbers w:val="0"/>
              <w:jc w:val="center"/>
              <w:textAlignment w:val="center"/>
              <w:rPr>
                <w:rFonts w:hint="eastAsia" w:ascii="宋体" w:hAnsi="宋体" w:eastAsia="宋体" w:cs="宋体"/>
                <w:b w:val="0"/>
                <w:bCs/>
                <w:i w:val="0"/>
                <w:iCs w:val="0"/>
                <w:color w:val="auto"/>
                <w:kern w:val="2"/>
                <w:sz w:val="20"/>
                <w:szCs w:val="20"/>
                <w:highlight w:val="none"/>
                <w:u w:val="none"/>
                <w:lang w:val="en-US" w:eastAsia="zh-CN" w:bidi="ar-SA"/>
              </w:rPr>
            </w:pPr>
            <w:r>
              <w:rPr>
                <w:rFonts w:hint="default" w:ascii="宋体" w:hAnsi="宋体" w:eastAsia="宋体" w:cs="宋体"/>
                <w:b w:val="0"/>
                <w:bCs w:val="0"/>
                <w:i w:val="0"/>
                <w:color w:val="auto"/>
                <w:kern w:val="0"/>
                <w:sz w:val="21"/>
                <w:szCs w:val="21"/>
                <w:highlight w:val="none"/>
                <w:u w:val="none"/>
                <w:lang w:val="en-US" w:eastAsia="zh-CN" w:bidi="ar"/>
              </w:rPr>
              <w:t>4.79</w:t>
            </w:r>
          </w:p>
        </w:tc>
        <w:tc>
          <w:tcPr>
            <w:tcW w:w="711" w:type="dxa"/>
            <w:vAlign w:val="center"/>
          </w:tcPr>
          <w:p>
            <w:pPr>
              <w:keepNext w:val="0"/>
              <w:keepLines w:val="0"/>
              <w:widowControl/>
              <w:suppressLineNumbers w:val="0"/>
              <w:jc w:val="center"/>
              <w:textAlignment w:val="center"/>
              <w:rPr>
                <w:rFonts w:hint="eastAsia" w:ascii="宋体" w:hAnsi="宋体" w:eastAsia="宋体" w:cs="宋体"/>
                <w:b w:val="0"/>
                <w:bCs/>
                <w:sz w:val="20"/>
                <w:szCs w:val="20"/>
                <w:highlight w:val="none"/>
              </w:rPr>
            </w:pPr>
            <w:r>
              <w:rPr>
                <w:rFonts w:hint="eastAsia" w:ascii="宋体" w:hAnsi="宋体" w:eastAsia="宋体" w:cs="宋体"/>
                <w:b w:val="0"/>
                <w:bCs w:val="0"/>
                <w:i w:val="0"/>
                <w:color w:val="auto"/>
                <w:kern w:val="0"/>
                <w:sz w:val="21"/>
                <w:szCs w:val="21"/>
                <w:highlight w:val="none"/>
                <w:u w:val="none"/>
                <w:lang w:val="en-US" w:eastAsia="zh-CN" w:bidi="ar"/>
              </w:rPr>
              <w:t>13</w:t>
            </w:r>
          </w:p>
        </w:tc>
        <w:tc>
          <w:tcPr>
            <w:tcW w:w="1982"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合同签订后按照招标人要求分批次交货，为满足招标人柔性化生产的需求，投标人须按照订单约定的交货时间交货。</w:t>
            </w:r>
          </w:p>
        </w:tc>
        <w:tc>
          <w:tcPr>
            <w:tcW w:w="1200"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自合同签订之日起至2025年12月31日。</w:t>
            </w:r>
          </w:p>
        </w:tc>
        <w:tc>
          <w:tcPr>
            <w:tcW w:w="876"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招标人指定地点。</w:t>
            </w:r>
          </w:p>
        </w:tc>
        <w:tc>
          <w:tcPr>
            <w:tcW w:w="1093"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满足招标文件合同条款要求。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9" w:hRule="atLeast"/>
          <w:jc w:val="center"/>
        </w:trPr>
        <w:tc>
          <w:tcPr>
            <w:tcW w:w="453" w:type="pct"/>
            <w:vMerge w:val="continue"/>
            <w:tcMar>
              <w:left w:w="108" w:type="dxa"/>
              <w:right w:w="108" w:type="dxa"/>
            </w:tcMar>
            <w:vAlign w:val="center"/>
          </w:tcPr>
          <w:p>
            <w:pPr>
              <w:widowControl/>
              <w:jc w:val="center"/>
              <w:textAlignment w:val="center"/>
              <w:rPr>
                <w:rFonts w:hint="eastAsia" w:ascii="宋体" w:hAnsi="宋体" w:eastAsia="宋体" w:cs="宋体"/>
                <w:b w:val="0"/>
                <w:bCs/>
                <w:sz w:val="20"/>
                <w:szCs w:val="20"/>
                <w:highlight w:val="none"/>
                <w:lang w:val="en-US" w:eastAsia="zh-CN"/>
              </w:rPr>
            </w:pPr>
          </w:p>
        </w:tc>
        <w:tc>
          <w:tcPr>
            <w:tcW w:w="1108" w:type="dxa"/>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b w:val="0"/>
                <w:bCs/>
                <w:sz w:val="20"/>
                <w:szCs w:val="20"/>
                <w:highlight w:val="none"/>
                <w:lang w:val="en-US" w:eastAsia="zh-CN"/>
              </w:rPr>
            </w:pPr>
            <w:r>
              <w:rPr>
                <w:rFonts w:hint="default" w:ascii="宋体" w:hAnsi="宋体" w:eastAsia="宋体" w:cs="宋体"/>
                <w:b w:val="0"/>
                <w:bCs w:val="0"/>
                <w:i w:val="0"/>
                <w:color w:val="auto"/>
                <w:kern w:val="0"/>
                <w:sz w:val="21"/>
                <w:szCs w:val="21"/>
                <w:highlight w:val="none"/>
                <w:u w:val="none"/>
                <w:lang w:val="en-US" w:eastAsia="zh-CN" w:bidi="ar"/>
              </w:rPr>
              <w:t>陕西金叶印务有限公司</w:t>
            </w:r>
          </w:p>
        </w:tc>
        <w:tc>
          <w:tcPr>
            <w:tcW w:w="434" w:type="pct"/>
            <w:tcMar>
              <w:left w:w="108" w:type="dxa"/>
              <w:right w:w="108" w:type="dxa"/>
            </w:tcMar>
            <w:vAlign w:val="center"/>
          </w:tcPr>
          <w:p>
            <w:pPr>
              <w:keepNext w:val="0"/>
              <w:keepLines w:val="0"/>
              <w:widowControl/>
              <w:suppressLineNumbers w:val="0"/>
              <w:jc w:val="center"/>
              <w:textAlignment w:val="center"/>
              <w:rPr>
                <w:rFonts w:hint="default" w:ascii="宋体" w:hAnsi="宋体" w:eastAsia="宋体" w:cs="宋体"/>
                <w:b w:val="0"/>
                <w:bCs/>
                <w:i w:val="0"/>
                <w:iCs w:val="0"/>
                <w:color w:val="auto"/>
                <w:kern w:val="2"/>
                <w:sz w:val="20"/>
                <w:szCs w:val="20"/>
                <w:highlight w:val="none"/>
                <w:u w:val="none"/>
                <w:lang w:val="en-US" w:eastAsia="zh-CN" w:bidi="ar-SA"/>
              </w:rPr>
            </w:pPr>
            <w:r>
              <w:rPr>
                <w:rFonts w:hint="eastAsia" w:ascii="宋体" w:hAnsi="宋体" w:cs="宋体"/>
                <w:b w:val="0"/>
                <w:bCs/>
                <w:i w:val="0"/>
                <w:iCs w:val="0"/>
                <w:color w:val="auto"/>
                <w:kern w:val="2"/>
                <w:sz w:val="20"/>
                <w:szCs w:val="20"/>
                <w:highlight w:val="none"/>
                <w:u w:val="none"/>
                <w:lang w:val="en-US" w:eastAsia="zh-CN" w:bidi="ar-SA"/>
              </w:rPr>
              <w:t>33</w:t>
            </w:r>
          </w:p>
        </w:tc>
        <w:tc>
          <w:tcPr>
            <w:tcW w:w="824" w:type="dxa"/>
            <w:vAlign w:val="center"/>
          </w:tcPr>
          <w:p>
            <w:pPr>
              <w:keepNext w:val="0"/>
              <w:keepLines w:val="0"/>
              <w:widowControl/>
              <w:suppressLineNumbers w:val="0"/>
              <w:jc w:val="center"/>
              <w:textAlignment w:val="center"/>
              <w:rPr>
                <w:rFonts w:hint="eastAsia" w:ascii="宋体" w:hAnsi="宋体" w:eastAsia="宋体" w:cs="宋体"/>
                <w:b w:val="0"/>
                <w:bCs/>
                <w:i w:val="0"/>
                <w:iCs w:val="0"/>
                <w:color w:val="auto"/>
                <w:kern w:val="2"/>
                <w:sz w:val="20"/>
                <w:szCs w:val="20"/>
                <w:highlight w:val="none"/>
                <w:u w:val="none"/>
                <w:lang w:val="en-US" w:eastAsia="zh-CN" w:bidi="ar-SA"/>
              </w:rPr>
            </w:pPr>
            <w:r>
              <w:rPr>
                <w:rFonts w:hint="default" w:ascii="宋体" w:hAnsi="宋体" w:eastAsia="宋体" w:cs="宋体"/>
                <w:b w:val="0"/>
                <w:bCs w:val="0"/>
                <w:i w:val="0"/>
                <w:color w:val="auto"/>
                <w:kern w:val="0"/>
                <w:sz w:val="21"/>
                <w:szCs w:val="21"/>
                <w:highlight w:val="none"/>
                <w:u w:val="none"/>
                <w:lang w:val="en-US" w:eastAsia="zh-CN" w:bidi="ar"/>
              </w:rPr>
              <w:t>4.79</w:t>
            </w:r>
          </w:p>
        </w:tc>
        <w:tc>
          <w:tcPr>
            <w:tcW w:w="711" w:type="dxa"/>
            <w:vAlign w:val="center"/>
          </w:tcPr>
          <w:p>
            <w:pPr>
              <w:keepNext w:val="0"/>
              <w:keepLines w:val="0"/>
              <w:widowControl/>
              <w:suppressLineNumbers w:val="0"/>
              <w:jc w:val="center"/>
              <w:textAlignment w:val="center"/>
              <w:rPr>
                <w:rFonts w:hint="eastAsia" w:ascii="宋体" w:hAnsi="宋体" w:eastAsia="宋体" w:cs="宋体"/>
                <w:b w:val="0"/>
                <w:bCs/>
                <w:sz w:val="20"/>
                <w:szCs w:val="20"/>
                <w:highlight w:val="none"/>
              </w:rPr>
            </w:pPr>
            <w:r>
              <w:rPr>
                <w:rFonts w:hint="eastAsia" w:ascii="宋体" w:hAnsi="宋体" w:eastAsia="宋体" w:cs="宋体"/>
                <w:b w:val="0"/>
                <w:bCs w:val="0"/>
                <w:i w:val="0"/>
                <w:color w:val="auto"/>
                <w:kern w:val="0"/>
                <w:sz w:val="21"/>
                <w:szCs w:val="21"/>
                <w:highlight w:val="none"/>
                <w:u w:val="none"/>
                <w:lang w:val="en-US" w:eastAsia="zh-CN" w:bidi="ar"/>
              </w:rPr>
              <w:t>13</w:t>
            </w:r>
          </w:p>
        </w:tc>
        <w:tc>
          <w:tcPr>
            <w:tcW w:w="1982"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合同签订后按照招标人要求分批次交货，为满足招标人柔性化生产的需求，投标人须按照订单约定的交货时间交货。</w:t>
            </w:r>
          </w:p>
        </w:tc>
        <w:tc>
          <w:tcPr>
            <w:tcW w:w="1200"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自合同签订之日起至2025年12月31日。</w:t>
            </w:r>
          </w:p>
        </w:tc>
        <w:tc>
          <w:tcPr>
            <w:tcW w:w="876"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招标人指定地点。</w:t>
            </w:r>
          </w:p>
        </w:tc>
        <w:tc>
          <w:tcPr>
            <w:tcW w:w="1093" w:type="dxa"/>
            <w:vAlign w:val="center"/>
          </w:tcPr>
          <w:p>
            <w:pPr>
              <w:keepNext w:val="0"/>
              <w:keepLines w:val="0"/>
              <w:widowControl/>
              <w:suppressLineNumbers w:val="0"/>
              <w:jc w:val="center"/>
              <w:textAlignment w:val="center"/>
              <w:rPr>
                <w:rFonts w:hint="eastAsia" w:ascii="宋体" w:hAnsi="宋体" w:eastAsia="宋体" w:cs="宋体"/>
                <w:b w:val="0"/>
                <w:bCs/>
                <w:color w:val="000000"/>
                <w:sz w:val="20"/>
                <w:szCs w:val="20"/>
                <w:highlight w:val="none"/>
              </w:rPr>
            </w:pPr>
            <w:r>
              <w:rPr>
                <w:rFonts w:hint="eastAsia" w:ascii="宋体" w:hAnsi="宋体" w:eastAsia="宋体" w:cs="宋体"/>
                <w:b w:val="0"/>
                <w:bCs/>
                <w:color w:val="000000"/>
                <w:sz w:val="20"/>
                <w:szCs w:val="20"/>
                <w:highlight w:val="none"/>
              </w:rPr>
              <w:t>满足招标文件合同条款要求。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jc w:val="center"/>
        </w:trPr>
        <w:tc>
          <w:tcPr>
            <w:tcW w:w="5000" w:type="pct"/>
            <w:gridSpan w:val="9"/>
            <w:tcMar>
              <w:left w:w="108" w:type="dxa"/>
              <w:right w:w="108" w:type="dxa"/>
            </w:tcMar>
            <w:vAlign w:val="center"/>
          </w:tcPr>
          <w:p>
            <w:pPr>
              <w:widowControl/>
              <w:spacing w:line="312" w:lineRule="auto"/>
              <w:jc w:val="left"/>
              <w:rPr>
                <w:rFonts w:hint="eastAsia" w:ascii="宋体" w:hAnsi="宋体" w:eastAsia="宋体" w:cs="宋体"/>
                <w:b w:val="0"/>
                <w:bCs/>
                <w:color w:val="000000"/>
                <w:sz w:val="20"/>
                <w:szCs w:val="20"/>
                <w:highlight w:val="none"/>
              </w:rPr>
            </w:pPr>
            <w:r>
              <w:rPr>
                <w:rFonts w:hint="eastAsia" w:ascii="宋体" w:hAnsi="宋体" w:eastAsia="宋体" w:cs="宋体"/>
                <w:b/>
                <w:bCs w:val="0"/>
                <w:kern w:val="0"/>
                <w:sz w:val="20"/>
                <w:szCs w:val="20"/>
                <w:highlight w:val="none"/>
                <w:shd w:val="clear" w:color="auto" w:fill="FFFFFF"/>
              </w:rPr>
              <w:t>注：本次招标将以各品名预中标人的最低投标单价作为该品名的统一不含税中标单价。</w:t>
            </w:r>
          </w:p>
        </w:tc>
      </w:tr>
    </w:tbl>
    <w:p>
      <w:pPr>
        <w:widowControl/>
        <w:spacing w:before="156" w:beforeLines="50" w:line="312" w:lineRule="auto"/>
        <w:ind w:firstLine="480" w:firstLineChars="200"/>
        <w:jc w:val="left"/>
        <w:rPr>
          <w:rFonts w:ascii="宋体" w:hAnsi="宋体" w:cs="宋体"/>
          <w:kern w:val="0"/>
          <w:sz w:val="24"/>
          <w:szCs w:val="24"/>
          <w:highlight w:val="none"/>
          <w:shd w:val="clear" w:color="auto" w:fill="FFFFFF"/>
          <w:lang w:val="zh-CN"/>
        </w:rPr>
      </w:pPr>
      <w:r>
        <w:rPr>
          <w:rFonts w:hint="eastAsia" w:ascii="宋体" w:hAnsi="宋体" w:cs="宋体"/>
          <w:kern w:val="0"/>
          <w:sz w:val="24"/>
          <w:szCs w:val="24"/>
          <w:highlight w:val="none"/>
          <w:shd w:val="clear" w:color="auto" w:fill="FFFFFF"/>
        </w:rPr>
        <w:t>如对本次中标结果有异议，可于中标公示发布之日起（截止时间202</w:t>
      </w:r>
      <w:r>
        <w:rPr>
          <w:rFonts w:hint="eastAsia" w:ascii="宋体" w:hAnsi="宋体" w:cs="宋体"/>
          <w:kern w:val="0"/>
          <w:sz w:val="24"/>
          <w:szCs w:val="24"/>
          <w:highlight w:val="none"/>
          <w:shd w:val="clear" w:color="auto" w:fill="FFFFFF"/>
          <w:lang w:val="en-US" w:eastAsia="zh-CN"/>
        </w:rPr>
        <w:t>4</w:t>
      </w:r>
      <w:r>
        <w:rPr>
          <w:rFonts w:hint="eastAsia" w:ascii="宋体" w:hAnsi="宋体" w:cs="宋体"/>
          <w:kern w:val="0"/>
          <w:sz w:val="24"/>
          <w:szCs w:val="24"/>
          <w:highlight w:val="none"/>
          <w:shd w:val="clear" w:color="auto" w:fill="FFFFFF"/>
        </w:rPr>
        <w:t>年</w:t>
      </w:r>
      <w:r>
        <w:rPr>
          <w:rFonts w:hint="eastAsia" w:ascii="宋体" w:hAnsi="宋体" w:cs="宋体"/>
          <w:kern w:val="0"/>
          <w:sz w:val="24"/>
          <w:szCs w:val="24"/>
          <w:highlight w:val="none"/>
          <w:shd w:val="clear" w:color="auto" w:fill="FFFFFF"/>
          <w:lang w:val="en-US" w:eastAsia="zh-CN"/>
        </w:rPr>
        <w:t>6</w:t>
      </w:r>
      <w:r>
        <w:rPr>
          <w:rFonts w:hint="eastAsia" w:ascii="宋体" w:hAnsi="宋体" w:cs="宋体"/>
          <w:kern w:val="0"/>
          <w:sz w:val="24"/>
          <w:szCs w:val="24"/>
          <w:highlight w:val="none"/>
          <w:shd w:val="clear" w:color="auto" w:fill="FFFFFF"/>
        </w:rPr>
        <w:t>月</w:t>
      </w:r>
      <w:r>
        <w:rPr>
          <w:rFonts w:hint="eastAsia" w:ascii="宋体" w:hAnsi="宋体" w:cs="宋体"/>
          <w:kern w:val="0"/>
          <w:sz w:val="24"/>
          <w:szCs w:val="24"/>
          <w:highlight w:val="none"/>
          <w:shd w:val="clear" w:color="auto" w:fill="FFFFFF"/>
          <w:lang w:val="en-US" w:eastAsia="zh-CN"/>
        </w:rPr>
        <w:t>6</w:t>
      </w:r>
      <w:r>
        <w:rPr>
          <w:rFonts w:hint="eastAsia" w:ascii="宋体" w:hAnsi="宋体" w:cs="宋体"/>
          <w:kern w:val="0"/>
          <w:sz w:val="24"/>
          <w:szCs w:val="24"/>
          <w:highlight w:val="none"/>
          <w:shd w:val="clear" w:color="auto" w:fill="FFFFFF"/>
        </w:rPr>
        <w:t>日）以书面形</w:t>
      </w:r>
      <w:r>
        <w:rPr>
          <w:rFonts w:hint="eastAsia" w:ascii="宋体" w:hAnsi="宋体"/>
          <w:sz w:val="24"/>
          <w:szCs w:val="24"/>
          <w:highlight w:val="none"/>
        </w:rPr>
        <w:t>式向本项目招标代理机构提出异议，书面异议函应加盖异议单位鲜章，并在异议函中载明联系人及联系方式，逾期或不符合要求的异议将不予受理。如因特殊原因，书面材料无法送达，可在书面材料寄出的同时将书面材料传真至代理机构。</w:t>
      </w:r>
    </w:p>
    <w:p>
      <w:pPr>
        <w:tabs>
          <w:tab w:val="left" w:pos="4253"/>
          <w:tab w:val="left" w:pos="4395"/>
        </w:tabs>
        <w:wordWrap w:val="0"/>
        <w:spacing w:before="156" w:beforeLines="50" w:line="312" w:lineRule="auto"/>
        <w:ind w:firstLine="480" w:firstLineChars="200"/>
        <w:rPr>
          <w:rFonts w:hint="default" w:ascii="宋体" w:hAnsi="宋体" w:eastAsia="宋体" w:cs="宋体"/>
          <w:kern w:val="0"/>
          <w:sz w:val="24"/>
          <w:szCs w:val="24"/>
          <w:highlight w:val="none"/>
          <w:shd w:val="clear" w:color="auto" w:fill="FFFFFF"/>
          <w:lang w:val="en-US" w:eastAsia="zh-CN"/>
        </w:rPr>
      </w:pPr>
      <w:r>
        <w:rPr>
          <w:rFonts w:hint="eastAsia" w:ascii="宋体" w:hAnsi="宋体" w:cs="宋体"/>
          <w:kern w:val="0"/>
          <w:sz w:val="24"/>
          <w:szCs w:val="24"/>
          <w:highlight w:val="none"/>
          <w:shd w:val="clear" w:color="auto" w:fill="FFFFFF"/>
          <w:lang w:val="en-US" w:eastAsia="zh-CN"/>
        </w:rPr>
        <w:t>中招国际招标有限公司</w:t>
      </w:r>
      <w:r>
        <w:rPr>
          <w:rFonts w:hint="eastAsia" w:ascii="宋体" w:hAnsi="宋体" w:eastAsia="宋体" w:cs="宋体"/>
          <w:kern w:val="0"/>
          <w:sz w:val="24"/>
          <w:szCs w:val="24"/>
          <w:highlight w:val="none"/>
          <w:shd w:val="clear" w:color="auto" w:fill="FFFFFF"/>
          <w:lang w:val="zh-CN"/>
        </w:rPr>
        <w:t>：0471-</w:t>
      </w:r>
      <w:r>
        <w:rPr>
          <w:rFonts w:hint="eastAsia" w:ascii="宋体" w:hAnsi="宋体" w:cs="宋体"/>
          <w:kern w:val="0"/>
          <w:sz w:val="24"/>
          <w:szCs w:val="24"/>
          <w:highlight w:val="none"/>
          <w:shd w:val="clear" w:color="auto" w:fill="FFFFFF"/>
          <w:lang w:val="en-US" w:eastAsia="zh-CN"/>
        </w:rPr>
        <w:t>6276322</w:t>
      </w:r>
    </w:p>
    <w:p>
      <w:pPr>
        <w:tabs>
          <w:tab w:val="left" w:pos="4253"/>
          <w:tab w:val="left" w:pos="4395"/>
        </w:tabs>
        <w:wordWrap w:val="0"/>
        <w:spacing w:before="156" w:beforeLines="50" w:line="312" w:lineRule="auto"/>
        <w:ind w:firstLine="480" w:firstLineChars="200"/>
        <w:rPr>
          <w:rFonts w:ascii="宋体" w:hAnsi="宋体" w:cs="宋体"/>
          <w:kern w:val="0"/>
          <w:sz w:val="24"/>
          <w:szCs w:val="24"/>
          <w:highlight w:val="none"/>
          <w:shd w:val="clear" w:color="auto" w:fill="FFFFFF"/>
          <w:lang w:val="zh-CN"/>
        </w:rPr>
      </w:pPr>
      <w:r>
        <w:rPr>
          <w:rFonts w:hint="eastAsia" w:ascii="宋体" w:hAnsi="宋体" w:cs="宋体"/>
          <w:kern w:val="0"/>
          <w:sz w:val="24"/>
          <w:szCs w:val="24"/>
          <w:highlight w:val="none"/>
          <w:shd w:val="clear" w:color="auto" w:fill="FFFFFF"/>
          <w:lang w:val="zh-CN"/>
        </w:rPr>
        <w:t>本公示在</w:t>
      </w:r>
      <w:bookmarkStart w:id="0" w:name="dttl"/>
      <w:r>
        <w:rPr>
          <w:rFonts w:hint="eastAsia" w:ascii="宋体" w:hAnsi="宋体" w:cs="宋体"/>
          <w:kern w:val="0"/>
          <w:sz w:val="24"/>
          <w:szCs w:val="24"/>
          <w:highlight w:val="none"/>
          <w:shd w:val="clear" w:color="auto" w:fill="FFFFFF"/>
        </w:rPr>
        <w:t>中国招标投标公共服务平台、内蒙古招标投标公共服务平台</w:t>
      </w:r>
      <w:bookmarkEnd w:id="0"/>
      <w:r>
        <w:rPr>
          <w:rFonts w:hint="eastAsia" w:ascii="宋体" w:hAnsi="宋体" w:cs="宋体"/>
          <w:sz w:val="24"/>
          <w:szCs w:val="24"/>
          <w:highlight w:val="none"/>
        </w:rPr>
        <w:t>、中国烟草总公司、</w:t>
      </w:r>
      <w:r>
        <w:rPr>
          <w:rFonts w:hint="eastAsia" w:ascii="宋体" w:hAnsi="宋体" w:cs="宋体"/>
          <w:sz w:val="24"/>
          <w:highlight w:val="none"/>
        </w:rPr>
        <w:t>中国烟草物资电子商务网、</w:t>
      </w:r>
      <w:r>
        <w:rPr>
          <w:rFonts w:hint="eastAsia" w:ascii="宋体" w:hAnsi="宋体" w:cs="宋体"/>
          <w:kern w:val="0"/>
          <w:sz w:val="24"/>
          <w:szCs w:val="24"/>
          <w:highlight w:val="none"/>
          <w:shd w:val="clear" w:color="auto" w:fill="FFFFFF"/>
        </w:rPr>
        <w:t>内蒙古昆明卷烟有限责任公司</w:t>
      </w:r>
      <w:r>
        <w:rPr>
          <w:rFonts w:hint="eastAsia"/>
          <w:sz w:val="24"/>
          <w:highlight w:val="none"/>
        </w:rPr>
        <w:t>网</w:t>
      </w:r>
      <w:r>
        <w:rPr>
          <w:rFonts w:hint="eastAsia" w:ascii="宋体" w:hAnsi="宋体" w:cs="宋体"/>
          <w:kern w:val="0"/>
          <w:sz w:val="24"/>
          <w:szCs w:val="24"/>
          <w:highlight w:val="none"/>
          <w:shd w:val="clear" w:color="auto" w:fill="FFFFFF"/>
          <w:lang w:val="zh-CN"/>
        </w:rPr>
        <w:t>上同时发布。</w:t>
      </w:r>
    </w:p>
    <w:p>
      <w:pPr>
        <w:widowControl/>
        <w:spacing w:line="312" w:lineRule="auto"/>
        <w:ind w:firstLine="240" w:firstLineChars="100"/>
        <w:rPr>
          <w:rFonts w:ascii="宋体" w:hAnsi="宋体" w:cs="宋体"/>
          <w:kern w:val="0"/>
          <w:sz w:val="24"/>
          <w:szCs w:val="24"/>
          <w:highlight w:val="none"/>
          <w:shd w:val="clear" w:color="auto" w:fill="FFFFFF"/>
          <w:lang w:val="zh-CN"/>
        </w:rPr>
      </w:pPr>
      <w:bookmarkStart w:id="1" w:name="OLE_LINK4"/>
    </w:p>
    <w:p>
      <w:pPr>
        <w:widowControl/>
        <w:spacing w:line="312" w:lineRule="auto"/>
        <w:ind w:firstLine="240" w:firstLineChars="100"/>
        <w:rPr>
          <w:rFonts w:hint="eastAsia" w:ascii="宋体" w:hAnsi="宋体" w:eastAsia="宋体" w:cs="宋体"/>
          <w:kern w:val="0"/>
          <w:sz w:val="24"/>
          <w:szCs w:val="24"/>
          <w:highlight w:val="none"/>
          <w:shd w:val="clear" w:color="auto" w:fill="FFFFFF"/>
          <w:lang w:val="zh-CN" w:eastAsia="zh-CN"/>
        </w:rPr>
      </w:pPr>
      <w:r>
        <w:rPr>
          <w:rFonts w:hint="eastAsia" w:ascii="宋体" w:hAnsi="宋体" w:cs="宋体"/>
          <w:kern w:val="0"/>
          <w:sz w:val="24"/>
          <w:szCs w:val="24"/>
          <w:highlight w:val="none"/>
          <w:shd w:val="clear" w:color="auto" w:fill="FFFFFF"/>
          <w:lang w:val="zh-CN"/>
        </w:rPr>
        <w:t>内蒙古昆明卷烟有限责任公司</w:t>
      </w:r>
      <w:bookmarkEnd w:id="1"/>
      <w:r>
        <w:rPr>
          <w:rFonts w:hint="eastAsia" w:ascii="宋体" w:hAnsi="宋体" w:cs="宋体"/>
          <w:kern w:val="0"/>
          <w:sz w:val="24"/>
          <w:szCs w:val="24"/>
          <w:highlight w:val="none"/>
          <w:shd w:val="clear" w:color="auto" w:fill="FFFFFF"/>
          <w:lang w:val="zh-CN"/>
        </w:rPr>
        <w:t xml:space="preserve">       </w:t>
      </w:r>
      <w:r>
        <w:rPr>
          <w:rFonts w:hint="eastAsia" w:ascii="宋体" w:hAnsi="宋体" w:cs="宋体"/>
          <w:kern w:val="0"/>
          <w:sz w:val="24"/>
          <w:szCs w:val="24"/>
          <w:highlight w:val="none"/>
          <w:shd w:val="clear" w:color="auto" w:fill="FFFFFF"/>
        </w:rPr>
        <w:t xml:space="preserve">      </w:t>
      </w:r>
      <w:r>
        <w:rPr>
          <w:rFonts w:ascii="宋体" w:hAnsi="宋体" w:cs="宋体"/>
          <w:kern w:val="0"/>
          <w:sz w:val="24"/>
          <w:szCs w:val="24"/>
          <w:highlight w:val="none"/>
          <w:shd w:val="clear" w:color="auto" w:fill="FFFFFF"/>
        </w:rPr>
        <w:t xml:space="preserve">            </w:t>
      </w:r>
      <w:r>
        <w:rPr>
          <w:rFonts w:hint="eastAsia" w:ascii="宋体" w:hAnsi="宋体" w:cs="宋体"/>
          <w:kern w:val="0"/>
          <w:sz w:val="24"/>
          <w:szCs w:val="24"/>
          <w:highlight w:val="none"/>
          <w:shd w:val="clear" w:color="auto" w:fill="FFFFFF"/>
          <w:lang w:val="en-US" w:eastAsia="zh-CN"/>
        </w:rPr>
        <w:t xml:space="preserve">     中招国际招标有限公司</w:t>
      </w:r>
    </w:p>
    <w:p>
      <w:pPr>
        <w:spacing w:line="312" w:lineRule="auto"/>
        <w:ind w:firstLine="240" w:firstLineChars="100"/>
        <w:rPr>
          <w:highlight w:val="none"/>
        </w:rPr>
      </w:pPr>
      <w:r>
        <w:rPr>
          <w:rFonts w:ascii="宋体" w:hAnsi="宋体" w:cs="宋体"/>
          <w:kern w:val="0"/>
          <w:sz w:val="24"/>
          <w:szCs w:val="24"/>
          <w:highlight w:val="none"/>
          <w:shd w:val="clear" w:color="auto" w:fill="FFFFFF"/>
        </w:rPr>
        <w:t xml:space="preserve"> </w:t>
      </w:r>
      <w:r>
        <w:rPr>
          <w:rFonts w:hint="eastAsia" w:ascii="宋体" w:hAnsi="宋体" w:cs="宋体"/>
          <w:kern w:val="0"/>
          <w:sz w:val="24"/>
          <w:szCs w:val="24"/>
          <w:highlight w:val="none"/>
          <w:shd w:val="clear" w:color="auto" w:fill="FFFFFF"/>
          <w:lang w:val="en-US" w:eastAsia="zh-CN"/>
        </w:rPr>
        <w:t xml:space="preserve">   </w:t>
      </w:r>
      <w:r>
        <w:rPr>
          <w:rFonts w:hint="eastAsia" w:ascii="宋体" w:hAnsi="宋体" w:cs="宋体"/>
          <w:kern w:val="0"/>
          <w:sz w:val="24"/>
          <w:szCs w:val="24"/>
          <w:highlight w:val="none"/>
          <w:shd w:val="clear" w:color="auto" w:fill="FFFFFF"/>
          <w:lang w:val="zh-CN"/>
        </w:rPr>
        <w:t>二○二</w:t>
      </w:r>
      <w:r>
        <w:rPr>
          <w:rFonts w:hint="eastAsia" w:ascii="宋体" w:hAnsi="宋体" w:cs="宋体"/>
          <w:kern w:val="0"/>
          <w:sz w:val="24"/>
          <w:szCs w:val="24"/>
          <w:highlight w:val="none"/>
          <w:shd w:val="clear" w:color="auto" w:fill="FFFFFF"/>
          <w:lang w:val="en-US" w:eastAsia="zh-CN"/>
        </w:rPr>
        <w:t>四</w:t>
      </w:r>
      <w:r>
        <w:rPr>
          <w:rFonts w:hint="eastAsia" w:ascii="宋体" w:hAnsi="宋体" w:cs="宋体"/>
          <w:kern w:val="0"/>
          <w:sz w:val="24"/>
          <w:szCs w:val="24"/>
          <w:highlight w:val="none"/>
          <w:shd w:val="clear" w:color="auto" w:fill="FFFFFF"/>
          <w:lang w:val="zh-CN"/>
        </w:rPr>
        <w:t>年</w:t>
      </w:r>
      <w:r>
        <w:rPr>
          <w:rFonts w:hint="eastAsia" w:ascii="宋体" w:hAnsi="宋体" w:cs="宋体"/>
          <w:kern w:val="0"/>
          <w:sz w:val="24"/>
          <w:szCs w:val="24"/>
          <w:highlight w:val="none"/>
          <w:shd w:val="clear" w:color="auto" w:fill="FFFFFF"/>
          <w:lang w:val="en-US" w:eastAsia="zh-CN"/>
        </w:rPr>
        <w:t>六</w:t>
      </w:r>
      <w:r>
        <w:rPr>
          <w:rFonts w:hint="eastAsia" w:ascii="宋体" w:hAnsi="宋体" w:cs="宋体"/>
          <w:kern w:val="0"/>
          <w:sz w:val="24"/>
          <w:szCs w:val="24"/>
          <w:highlight w:val="none"/>
          <w:shd w:val="clear" w:color="auto" w:fill="FFFFFF"/>
          <w:lang w:val="zh-CN"/>
        </w:rPr>
        <w:t>月</w:t>
      </w:r>
      <w:r>
        <w:rPr>
          <w:rFonts w:hint="eastAsia" w:ascii="宋体" w:hAnsi="宋体" w:cs="宋体"/>
          <w:kern w:val="0"/>
          <w:sz w:val="24"/>
          <w:szCs w:val="24"/>
          <w:highlight w:val="none"/>
          <w:shd w:val="clear" w:color="auto" w:fill="FFFFFF"/>
          <w:lang w:val="en-US" w:eastAsia="zh-CN"/>
        </w:rPr>
        <w:t>三</w:t>
      </w:r>
      <w:r>
        <w:rPr>
          <w:rFonts w:hint="eastAsia" w:ascii="宋体" w:hAnsi="宋体" w:cs="宋体"/>
          <w:kern w:val="0"/>
          <w:sz w:val="24"/>
          <w:szCs w:val="24"/>
          <w:highlight w:val="none"/>
          <w:shd w:val="clear" w:color="auto" w:fill="FFFFFF"/>
          <w:lang w:val="zh-CN"/>
        </w:rPr>
        <w:t xml:space="preserve">日          </w:t>
      </w:r>
      <w:r>
        <w:rPr>
          <w:rFonts w:hint="eastAsia" w:ascii="宋体" w:hAnsi="宋体" w:cs="宋体"/>
          <w:kern w:val="0"/>
          <w:sz w:val="24"/>
          <w:szCs w:val="24"/>
          <w:highlight w:val="none"/>
          <w:shd w:val="clear" w:color="auto" w:fill="FFFFFF"/>
        </w:rPr>
        <w:t xml:space="preserve"> </w:t>
      </w:r>
      <w:r>
        <w:rPr>
          <w:rFonts w:hint="eastAsia" w:ascii="宋体" w:hAnsi="宋体" w:cs="宋体"/>
          <w:kern w:val="0"/>
          <w:sz w:val="24"/>
          <w:szCs w:val="24"/>
          <w:highlight w:val="none"/>
          <w:shd w:val="clear" w:color="auto" w:fill="FFFFFF"/>
          <w:lang w:val="zh-CN"/>
        </w:rPr>
        <w:t xml:space="preserve"> </w:t>
      </w:r>
      <w:r>
        <w:rPr>
          <w:rFonts w:hint="eastAsia" w:ascii="宋体" w:hAnsi="宋体" w:cs="宋体"/>
          <w:kern w:val="0"/>
          <w:sz w:val="24"/>
          <w:szCs w:val="24"/>
          <w:highlight w:val="none"/>
          <w:shd w:val="clear" w:color="auto" w:fill="FFFFFF"/>
        </w:rPr>
        <w:t xml:space="preserve">       </w:t>
      </w:r>
      <w:r>
        <w:rPr>
          <w:rFonts w:ascii="宋体" w:hAnsi="宋体" w:cs="宋体"/>
          <w:kern w:val="0"/>
          <w:sz w:val="24"/>
          <w:szCs w:val="24"/>
          <w:highlight w:val="none"/>
          <w:shd w:val="clear" w:color="auto" w:fill="FFFFFF"/>
        </w:rPr>
        <w:t xml:space="preserve">     </w:t>
      </w:r>
      <w:r>
        <w:rPr>
          <w:rFonts w:hint="eastAsia" w:ascii="宋体" w:hAnsi="宋体" w:cs="宋体"/>
          <w:kern w:val="0"/>
          <w:sz w:val="24"/>
          <w:szCs w:val="24"/>
          <w:highlight w:val="none"/>
          <w:shd w:val="clear" w:color="auto" w:fill="FFFFFF"/>
          <w:lang w:val="en-US" w:eastAsia="zh-CN"/>
        </w:rPr>
        <w:t xml:space="preserve">   </w:t>
      </w:r>
      <w:r>
        <w:rPr>
          <w:rFonts w:ascii="宋体" w:hAnsi="宋体" w:cs="宋体"/>
          <w:kern w:val="0"/>
          <w:sz w:val="24"/>
          <w:szCs w:val="24"/>
          <w:highlight w:val="none"/>
          <w:shd w:val="clear" w:color="auto" w:fill="FFFFFF"/>
        </w:rPr>
        <w:t xml:space="preserve"> </w:t>
      </w:r>
      <w:bookmarkStart w:id="2" w:name="_GoBack"/>
      <w:bookmarkEnd w:id="2"/>
      <w:r>
        <w:rPr>
          <w:rFonts w:hint="eastAsia" w:ascii="宋体" w:hAnsi="宋体" w:cs="宋体"/>
          <w:kern w:val="0"/>
          <w:sz w:val="24"/>
          <w:szCs w:val="24"/>
          <w:highlight w:val="none"/>
          <w:shd w:val="clear" w:color="auto" w:fill="FFFFFF"/>
          <w:lang w:val="en-US" w:eastAsia="zh-CN"/>
        </w:rPr>
        <w:t xml:space="preserve">       </w:t>
      </w:r>
      <w:r>
        <w:rPr>
          <w:rFonts w:hint="eastAsia" w:ascii="宋体" w:hAnsi="宋体" w:cs="宋体"/>
          <w:kern w:val="0"/>
          <w:sz w:val="24"/>
          <w:szCs w:val="24"/>
          <w:highlight w:val="none"/>
          <w:shd w:val="clear" w:color="auto" w:fill="FFFFFF"/>
          <w:lang w:val="zh-CN"/>
        </w:rPr>
        <w:t>二○二</w:t>
      </w:r>
      <w:r>
        <w:rPr>
          <w:rFonts w:hint="eastAsia" w:ascii="宋体" w:hAnsi="宋体" w:cs="宋体"/>
          <w:kern w:val="0"/>
          <w:sz w:val="24"/>
          <w:szCs w:val="24"/>
          <w:highlight w:val="none"/>
          <w:shd w:val="clear" w:color="auto" w:fill="FFFFFF"/>
          <w:lang w:val="en-US" w:eastAsia="zh-CN"/>
        </w:rPr>
        <w:t>四</w:t>
      </w:r>
      <w:r>
        <w:rPr>
          <w:rFonts w:hint="eastAsia" w:ascii="宋体" w:hAnsi="宋体" w:cs="宋体"/>
          <w:kern w:val="0"/>
          <w:sz w:val="24"/>
          <w:szCs w:val="24"/>
          <w:highlight w:val="none"/>
          <w:shd w:val="clear" w:color="auto" w:fill="FFFFFF"/>
          <w:lang w:val="zh-CN"/>
        </w:rPr>
        <w:t>年</w:t>
      </w:r>
      <w:r>
        <w:rPr>
          <w:rFonts w:hint="eastAsia" w:ascii="宋体" w:hAnsi="宋体" w:cs="宋体"/>
          <w:kern w:val="0"/>
          <w:sz w:val="24"/>
          <w:szCs w:val="24"/>
          <w:highlight w:val="none"/>
          <w:shd w:val="clear" w:color="auto" w:fill="FFFFFF"/>
          <w:lang w:val="en-US" w:eastAsia="zh-CN"/>
        </w:rPr>
        <w:t>六</w:t>
      </w:r>
      <w:r>
        <w:rPr>
          <w:rFonts w:hint="eastAsia" w:ascii="宋体" w:hAnsi="宋体" w:cs="宋体"/>
          <w:kern w:val="0"/>
          <w:sz w:val="24"/>
          <w:szCs w:val="24"/>
          <w:highlight w:val="none"/>
          <w:shd w:val="clear" w:color="auto" w:fill="FFFFFF"/>
          <w:lang w:val="zh-CN"/>
        </w:rPr>
        <w:t>月</w:t>
      </w:r>
      <w:r>
        <w:rPr>
          <w:rFonts w:hint="eastAsia" w:ascii="宋体" w:hAnsi="宋体" w:cs="宋体"/>
          <w:kern w:val="0"/>
          <w:sz w:val="24"/>
          <w:szCs w:val="24"/>
          <w:highlight w:val="none"/>
          <w:shd w:val="clear" w:color="auto" w:fill="FFFFFF"/>
          <w:lang w:val="en-US" w:eastAsia="zh-CN"/>
        </w:rPr>
        <w:t>三</w:t>
      </w:r>
      <w:r>
        <w:rPr>
          <w:rFonts w:hint="eastAsia" w:ascii="宋体" w:hAnsi="宋体" w:cs="宋体"/>
          <w:kern w:val="0"/>
          <w:sz w:val="24"/>
          <w:szCs w:val="24"/>
          <w:highlight w:val="none"/>
          <w:shd w:val="clear" w:color="auto" w:fill="FFFFFF"/>
          <w:lang w:val="zh-CN"/>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iZWM5MjhhN2FhMDJhZGY4MDZiNTY0M2RhNjAyYTYifQ=="/>
  </w:docVars>
  <w:rsids>
    <w:rsidRoot w:val="00962542"/>
    <w:rsid w:val="00094D16"/>
    <w:rsid w:val="000B4E63"/>
    <w:rsid w:val="000C3CDB"/>
    <w:rsid w:val="002B262E"/>
    <w:rsid w:val="00357500"/>
    <w:rsid w:val="0038585B"/>
    <w:rsid w:val="003C01C8"/>
    <w:rsid w:val="003E4DA7"/>
    <w:rsid w:val="0040625D"/>
    <w:rsid w:val="004874D5"/>
    <w:rsid w:val="005167EB"/>
    <w:rsid w:val="005E2932"/>
    <w:rsid w:val="005F75C5"/>
    <w:rsid w:val="00601B27"/>
    <w:rsid w:val="00655AA1"/>
    <w:rsid w:val="006A64CF"/>
    <w:rsid w:val="006B2097"/>
    <w:rsid w:val="00755F35"/>
    <w:rsid w:val="00787550"/>
    <w:rsid w:val="007A1A70"/>
    <w:rsid w:val="007B3194"/>
    <w:rsid w:val="007F2C2B"/>
    <w:rsid w:val="00810FB8"/>
    <w:rsid w:val="00890569"/>
    <w:rsid w:val="00893558"/>
    <w:rsid w:val="008B5212"/>
    <w:rsid w:val="008C64B6"/>
    <w:rsid w:val="008C70F7"/>
    <w:rsid w:val="008F3AF8"/>
    <w:rsid w:val="00960249"/>
    <w:rsid w:val="00962542"/>
    <w:rsid w:val="009D053D"/>
    <w:rsid w:val="009F4E7C"/>
    <w:rsid w:val="00A00BDB"/>
    <w:rsid w:val="00A6350A"/>
    <w:rsid w:val="00A678AD"/>
    <w:rsid w:val="00A7326E"/>
    <w:rsid w:val="00A770D7"/>
    <w:rsid w:val="00AA2007"/>
    <w:rsid w:val="00AE1527"/>
    <w:rsid w:val="00B13AE3"/>
    <w:rsid w:val="00B34AAF"/>
    <w:rsid w:val="00C55257"/>
    <w:rsid w:val="00C804DA"/>
    <w:rsid w:val="00CA6779"/>
    <w:rsid w:val="00CC2F54"/>
    <w:rsid w:val="00D25D84"/>
    <w:rsid w:val="00E554EB"/>
    <w:rsid w:val="00E870E7"/>
    <w:rsid w:val="00E94DA4"/>
    <w:rsid w:val="00EC3E6E"/>
    <w:rsid w:val="00EC62E9"/>
    <w:rsid w:val="00F03A7C"/>
    <w:rsid w:val="00F34B64"/>
    <w:rsid w:val="00FA6475"/>
    <w:rsid w:val="0132727D"/>
    <w:rsid w:val="01EE5E5A"/>
    <w:rsid w:val="02C24722"/>
    <w:rsid w:val="02EE7E1C"/>
    <w:rsid w:val="02F42021"/>
    <w:rsid w:val="032C4E8C"/>
    <w:rsid w:val="03321D76"/>
    <w:rsid w:val="044A30F0"/>
    <w:rsid w:val="0468379C"/>
    <w:rsid w:val="050666BC"/>
    <w:rsid w:val="052B7684"/>
    <w:rsid w:val="055E6E53"/>
    <w:rsid w:val="056401E1"/>
    <w:rsid w:val="059A4EC5"/>
    <w:rsid w:val="061B3469"/>
    <w:rsid w:val="06622973"/>
    <w:rsid w:val="06BC6527"/>
    <w:rsid w:val="07C30F86"/>
    <w:rsid w:val="0878022B"/>
    <w:rsid w:val="08DD0D18"/>
    <w:rsid w:val="091361A6"/>
    <w:rsid w:val="09BC63D8"/>
    <w:rsid w:val="09CC20B1"/>
    <w:rsid w:val="09EA2FF2"/>
    <w:rsid w:val="0A187F18"/>
    <w:rsid w:val="0A506F76"/>
    <w:rsid w:val="0AAD477E"/>
    <w:rsid w:val="0B1F75ED"/>
    <w:rsid w:val="0B212DFC"/>
    <w:rsid w:val="0B3348DE"/>
    <w:rsid w:val="0B93020C"/>
    <w:rsid w:val="0BCA5242"/>
    <w:rsid w:val="0BFA0D16"/>
    <w:rsid w:val="0C60563C"/>
    <w:rsid w:val="0CBD56A6"/>
    <w:rsid w:val="0DE17DBA"/>
    <w:rsid w:val="0E351B90"/>
    <w:rsid w:val="0E3605BF"/>
    <w:rsid w:val="0E934F3D"/>
    <w:rsid w:val="0EAD4879"/>
    <w:rsid w:val="0EE50B7B"/>
    <w:rsid w:val="0F147072"/>
    <w:rsid w:val="0F326E11"/>
    <w:rsid w:val="0F3E7997"/>
    <w:rsid w:val="0F4277E5"/>
    <w:rsid w:val="0F6F06A0"/>
    <w:rsid w:val="0FC20310"/>
    <w:rsid w:val="101C0036"/>
    <w:rsid w:val="108856CC"/>
    <w:rsid w:val="108F727D"/>
    <w:rsid w:val="110D448E"/>
    <w:rsid w:val="115B1430"/>
    <w:rsid w:val="12067BB4"/>
    <w:rsid w:val="12D94BFB"/>
    <w:rsid w:val="134F24D1"/>
    <w:rsid w:val="139E547B"/>
    <w:rsid w:val="14CD4474"/>
    <w:rsid w:val="151430DF"/>
    <w:rsid w:val="15474F36"/>
    <w:rsid w:val="15990EE1"/>
    <w:rsid w:val="15A1452D"/>
    <w:rsid w:val="15D93135"/>
    <w:rsid w:val="15EE4223"/>
    <w:rsid w:val="15F80BFE"/>
    <w:rsid w:val="16573B76"/>
    <w:rsid w:val="167577EB"/>
    <w:rsid w:val="16E55222"/>
    <w:rsid w:val="172A565B"/>
    <w:rsid w:val="17442ED7"/>
    <w:rsid w:val="17C96BE9"/>
    <w:rsid w:val="17D42FA4"/>
    <w:rsid w:val="17DE3E23"/>
    <w:rsid w:val="183E5778"/>
    <w:rsid w:val="18420503"/>
    <w:rsid w:val="184F4FA2"/>
    <w:rsid w:val="187D4542"/>
    <w:rsid w:val="18A5300F"/>
    <w:rsid w:val="18C262BB"/>
    <w:rsid w:val="190B3745"/>
    <w:rsid w:val="198527A8"/>
    <w:rsid w:val="198D1C62"/>
    <w:rsid w:val="19E576EB"/>
    <w:rsid w:val="1A061133"/>
    <w:rsid w:val="1A5674E5"/>
    <w:rsid w:val="1A6C2D70"/>
    <w:rsid w:val="1AEE781B"/>
    <w:rsid w:val="1AF220BF"/>
    <w:rsid w:val="1B486627"/>
    <w:rsid w:val="1B7148D2"/>
    <w:rsid w:val="1BB41E54"/>
    <w:rsid w:val="1C1A7992"/>
    <w:rsid w:val="1C3404B6"/>
    <w:rsid w:val="1C872CDB"/>
    <w:rsid w:val="1C916599"/>
    <w:rsid w:val="1D0D1432"/>
    <w:rsid w:val="1D306ECF"/>
    <w:rsid w:val="1D57445C"/>
    <w:rsid w:val="1D5C7CC4"/>
    <w:rsid w:val="1D8334A3"/>
    <w:rsid w:val="1DA63635"/>
    <w:rsid w:val="1DC51D0D"/>
    <w:rsid w:val="1DE57CB9"/>
    <w:rsid w:val="1E201112"/>
    <w:rsid w:val="1E675E37"/>
    <w:rsid w:val="1EA43E98"/>
    <w:rsid w:val="1F8F412D"/>
    <w:rsid w:val="203E0ED3"/>
    <w:rsid w:val="20B97A1E"/>
    <w:rsid w:val="20C74201"/>
    <w:rsid w:val="20D27A9C"/>
    <w:rsid w:val="20DA0A53"/>
    <w:rsid w:val="211A2370"/>
    <w:rsid w:val="219519F6"/>
    <w:rsid w:val="21D342CD"/>
    <w:rsid w:val="22525B39"/>
    <w:rsid w:val="2280014E"/>
    <w:rsid w:val="22CC1448"/>
    <w:rsid w:val="23130E25"/>
    <w:rsid w:val="236B43F3"/>
    <w:rsid w:val="24155071"/>
    <w:rsid w:val="2430746E"/>
    <w:rsid w:val="24471BCA"/>
    <w:rsid w:val="24572F93"/>
    <w:rsid w:val="246465C2"/>
    <w:rsid w:val="24AF49ED"/>
    <w:rsid w:val="24CA7C09"/>
    <w:rsid w:val="25AB3FCD"/>
    <w:rsid w:val="25BF2E68"/>
    <w:rsid w:val="25CD6118"/>
    <w:rsid w:val="26C21E29"/>
    <w:rsid w:val="27520F30"/>
    <w:rsid w:val="278E2693"/>
    <w:rsid w:val="27A67C4E"/>
    <w:rsid w:val="291D4B2F"/>
    <w:rsid w:val="29202B38"/>
    <w:rsid w:val="2974144B"/>
    <w:rsid w:val="29E928DF"/>
    <w:rsid w:val="29F11761"/>
    <w:rsid w:val="2AC82E3D"/>
    <w:rsid w:val="2ADC0B9F"/>
    <w:rsid w:val="2B004660"/>
    <w:rsid w:val="2B143B8D"/>
    <w:rsid w:val="2BD33A1E"/>
    <w:rsid w:val="2BE277A7"/>
    <w:rsid w:val="2C385DA0"/>
    <w:rsid w:val="2DBD030B"/>
    <w:rsid w:val="2DDD09AD"/>
    <w:rsid w:val="2E326981"/>
    <w:rsid w:val="2E5F1792"/>
    <w:rsid w:val="2E817385"/>
    <w:rsid w:val="2E975000"/>
    <w:rsid w:val="2EA31871"/>
    <w:rsid w:val="2EE628BE"/>
    <w:rsid w:val="2F3D6F8D"/>
    <w:rsid w:val="2F986F08"/>
    <w:rsid w:val="2FAC6E35"/>
    <w:rsid w:val="2FD951A4"/>
    <w:rsid w:val="30C23E8A"/>
    <w:rsid w:val="31496359"/>
    <w:rsid w:val="315A2313"/>
    <w:rsid w:val="317909ED"/>
    <w:rsid w:val="31F2254D"/>
    <w:rsid w:val="32057935"/>
    <w:rsid w:val="32102717"/>
    <w:rsid w:val="321663E4"/>
    <w:rsid w:val="32BE58AF"/>
    <w:rsid w:val="32E76D08"/>
    <w:rsid w:val="32F10A57"/>
    <w:rsid w:val="33D22C19"/>
    <w:rsid w:val="33FB7DDF"/>
    <w:rsid w:val="3406059C"/>
    <w:rsid w:val="341604A2"/>
    <w:rsid w:val="342A5866"/>
    <w:rsid w:val="34444991"/>
    <w:rsid w:val="34D06F5A"/>
    <w:rsid w:val="353971E6"/>
    <w:rsid w:val="35456F31"/>
    <w:rsid w:val="35877D21"/>
    <w:rsid w:val="35A45D85"/>
    <w:rsid w:val="35B216E2"/>
    <w:rsid w:val="35E30B2B"/>
    <w:rsid w:val="360E0429"/>
    <w:rsid w:val="36761D3C"/>
    <w:rsid w:val="367D7C87"/>
    <w:rsid w:val="368E18A4"/>
    <w:rsid w:val="37046FAB"/>
    <w:rsid w:val="378974F8"/>
    <w:rsid w:val="378D5D0A"/>
    <w:rsid w:val="37D333BB"/>
    <w:rsid w:val="380B2330"/>
    <w:rsid w:val="385A2A12"/>
    <w:rsid w:val="38855499"/>
    <w:rsid w:val="38B32EA0"/>
    <w:rsid w:val="38EC46A3"/>
    <w:rsid w:val="39584074"/>
    <w:rsid w:val="39A20CFD"/>
    <w:rsid w:val="39BB44C8"/>
    <w:rsid w:val="3A1E0383"/>
    <w:rsid w:val="3A3951BD"/>
    <w:rsid w:val="3A565D13"/>
    <w:rsid w:val="3A916DA7"/>
    <w:rsid w:val="3AB01016"/>
    <w:rsid w:val="3ACF5B21"/>
    <w:rsid w:val="3AE710BD"/>
    <w:rsid w:val="3B4A0741"/>
    <w:rsid w:val="3B7364AD"/>
    <w:rsid w:val="3B965B24"/>
    <w:rsid w:val="3BD86C58"/>
    <w:rsid w:val="3C2C55B7"/>
    <w:rsid w:val="3CA7694E"/>
    <w:rsid w:val="3CE44C8B"/>
    <w:rsid w:val="3D2C5F26"/>
    <w:rsid w:val="3D5434F5"/>
    <w:rsid w:val="3DB75434"/>
    <w:rsid w:val="3E41258A"/>
    <w:rsid w:val="3E4B54BF"/>
    <w:rsid w:val="3E4F1453"/>
    <w:rsid w:val="3E545148"/>
    <w:rsid w:val="3E7D2A8B"/>
    <w:rsid w:val="3E8D0407"/>
    <w:rsid w:val="3E902E92"/>
    <w:rsid w:val="3E91505B"/>
    <w:rsid w:val="3EB93BC1"/>
    <w:rsid w:val="3F1B465A"/>
    <w:rsid w:val="3F306009"/>
    <w:rsid w:val="3F4D73D9"/>
    <w:rsid w:val="3F9D61EE"/>
    <w:rsid w:val="3FAD7DA2"/>
    <w:rsid w:val="3FCF098B"/>
    <w:rsid w:val="404D19C2"/>
    <w:rsid w:val="40C33A32"/>
    <w:rsid w:val="40D93256"/>
    <w:rsid w:val="41034EEA"/>
    <w:rsid w:val="41100B28"/>
    <w:rsid w:val="415F1B6A"/>
    <w:rsid w:val="419C4A5F"/>
    <w:rsid w:val="41CC3DA8"/>
    <w:rsid w:val="41D01BDD"/>
    <w:rsid w:val="41FB4064"/>
    <w:rsid w:val="41FE1A50"/>
    <w:rsid w:val="440957E6"/>
    <w:rsid w:val="441B3290"/>
    <w:rsid w:val="44224F14"/>
    <w:rsid w:val="44265836"/>
    <w:rsid w:val="4440008B"/>
    <w:rsid w:val="447630B9"/>
    <w:rsid w:val="44BA6EFA"/>
    <w:rsid w:val="44E83EC1"/>
    <w:rsid w:val="44F52628"/>
    <w:rsid w:val="46072613"/>
    <w:rsid w:val="46794EEA"/>
    <w:rsid w:val="467A5838"/>
    <w:rsid w:val="47186BA8"/>
    <w:rsid w:val="474017C5"/>
    <w:rsid w:val="47471392"/>
    <w:rsid w:val="479F062A"/>
    <w:rsid w:val="48BA1AA7"/>
    <w:rsid w:val="48CE799F"/>
    <w:rsid w:val="49284D7B"/>
    <w:rsid w:val="4937540E"/>
    <w:rsid w:val="4A0707DC"/>
    <w:rsid w:val="4A370B4B"/>
    <w:rsid w:val="4AA91EEB"/>
    <w:rsid w:val="4B2F3EEA"/>
    <w:rsid w:val="4B8B137D"/>
    <w:rsid w:val="4BB618F7"/>
    <w:rsid w:val="4BC0482B"/>
    <w:rsid w:val="4C101AF6"/>
    <w:rsid w:val="4C1C6BC4"/>
    <w:rsid w:val="4C59631D"/>
    <w:rsid w:val="4C7D21FA"/>
    <w:rsid w:val="4CA87F80"/>
    <w:rsid w:val="4D2C4FB9"/>
    <w:rsid w:val="4D44391B"/>
    <w:rsid w:val="4D57772D"/>
    <w:rsid w:val="4D7D31BB"/>
    <w:rsid w:val="4DAE08E1"/>
    <w:rsid w:val="4E3C640E"/>
    <w:rsid w:val="4F834BA2"/>
    <w:rsid w:val="4F8E16AF"/>
    <w:rsid w:val="504A7CCC"/>
    <w:rsid w:val="505C2F45"/>
    <w:rsid w:val="50610B72"/>
    <w:rsid w:val="50920FE0"/>
    <w:rsid w:val="50B27620"/>
    <w:rsid w:val="50F07D7C"/>
    <w:rsid w:val="516050FC"/>
    <w:rsid w:val="518950EA"/>
    <w:rsid w:val="52082FC6"/>
    <w:rsid w:val="524C2606"/>
    <w:rsid w:val="528610C3"/>
    <w:rsid w:val="53591FD4"/>
    <w:rsid w:val="53AA72B5"/>
    <w:rsid w:val="54687167"/>
    <w:rsid w:val="546C5C25"/>
    <w:rsid w:val="54AA6B53"/>
    <w:rsid w:val="54CB0CB0"/>
    <w:rsid w:val="54F9581D"/>
    <w:rsid w:val="55105EEA"/>
    <w:rsid w:val="55182ABF"/>
    <w:rsid w:val="555C0EB5"/>
    <w:rsid w:val="5560589C"/>
    <w:rsid w:val="568633B1"/>
    <w:rsid w:val="57325016"/>
    <w:rsid w:val="573D4A14"/>
    <w:rsid w:val="57623B4D"/>
    <w:rsid w:val="5855720E"/>
    <w:rsid w:val="58951D01"/>
    <w:rsid w:val="58F84D8E"/>
    <w:rsid w:val="59187297"/>
    <w:rsid w:val="5A094754"/>
    <w:rsid w:val="5A191B40"/>
    <w:rsid w:val="5A3E2B3C"/>
    <w:rsid w:val="5B1433B1"/>
    <w:rsid w:val="5B294982"/>
    <w:rsid w:val="5B390EDA"/>
    <w:rsid w:val="5B3922FF"/>
    <w:rsid w:val="5B6B1D11"/>
    <w:rsid w:val="5B741B44"/>
    <w:rsid w:val="5B940EC0"/>
    <w:rsid w:val="5C4B1054"/>
    <w:rsid w:val="5C5123E2"/>
    <w:rsid w:val="5C557223"/>
    <w:rsid w:val="5C602454"/>
    <w:rsid w:val="5C7866A0"/>
    <w:rsid w:val="5CA11473"/>
    <w:rsid w:val="5CA87CBF"/>
    <w:rsid w:val="5D042FB1"/>
    <w:rsid w:val="5D3B14BB"/>
    <w:rsid w:val="5D7F4480"/>
    <w:rsid w:val="5D9C6B09"/>
    <w:rsid w:val="5DE1304F"/>
    <w:rsid w:val="5E62059E"/>
    <w:rsid w:val="5F0770DF"/>
    <w:rsid w:val="5F2B7405"/>
    <w:rsid w:val="5F433136"/>
    <w:rsid w:val="5F7A222E"/>
    <w:rsid w:val="5FCB6008"/>
    <w:rsid w:val="600F4147"/>
    <w:rsid w:val="60114A8A"/>
    <w:rsid w:val="60432042"/>
    <w:rsid w:val="605A5F71"/>
    <w:rsid w:val="60743D1C"/>
    <w:rsid w:val="60986E2D"/>
    <w:rsid w:val="616E7593"/>
    <w:rsid w:val="618D71DE"/>
    <w:rsid w:val="61972646"/>
    <w:rsid w:val="627038B1"/>
    <w:rsid w:val="627B3D60"/>
    <w:rsid w:val="631E24FD"/>
    <w:rsid w:val="63667E1D"/>
    <w:rsid w:val="63A50F6A"/>
    <w:rsid w:val="64664551"/>
    <w:rsid w:val="649036E6"/>
    <w:rsid w:val="653A528B"/>
    <w:rsid w:val="6554084E"/>
    <w:rsid w:val="65AC5344"/>
    <w:rsid w:val="65B37C6A"/>
    <w:rsid w:val="661E50E3"/>
    <w:rsid w:val="662E109F"/>
    <w:rsid w:val="6726609F"/>
    <w:rsid w:val="676318A7"/>
    <w:rsid w:val="68272956"/>
    <w:rsid w:val="683A5A85"/>
    <w:rsid w:val="68AF296B"/>
    <w:rsid w:val="68B24209"/>
    <w:rsid w:val="68C161FA"/>
    <w:rsid w:val="68DB50B7"/>
    <w:rsid w:val="68E67599"/>
    <w:rsid w:val="69482477"/>
    <w:rsid w:val="69906345"/>
    <w:rsid w:val="69FF50CC"/>
    <w:rsid w:val="6A220F1A"/>
    <w:rsid w:val="6A8614A9"/>
    <w:rsid w:val="6AAE27AE"/>
    <w:rsid w:val="6AE76A52"/>
    <w:rsid w:val="6B2C4D42"/>
    <w:rsid w:val="6B383F7F"/>
    <w:rsid w:val="6C015DDC"/>
    <w:rsid w:val="6C19701B"/>
    <w:rsid w:val="6CA0620C"/>
    <w:rsid w:val="6CEC3837"/>
    <w:rsid w:val="6D512242"/>
    <w:rsid w:val="6D9937D6"/>
    <w:rsid w:val="6DD339FD"/>
    <w:rsid w:val="6E1F6A08"/>
    <w:rsid w:val="6E800A18"/>
    <w:rsid w:val="6EC07725"/>
    <w:rsid w:val="6EDC71A2"/>
    <w:rsid w:val="6F4079C9"/>
    <w:rsid w:val="6F54601A"/>
    <w:rsid w:val="6F7028DB"/>
    <w:rsid w:val="6FF66E62"/>
    <w:rsid w:val="704F3E5F"/>
    <w:rsid w:val="709369D9"/>
    <w:rsid w:val="70BC3B82"/>
    <w:rsid w:val="70CE3BAA"/>
    <w:rsid w:val="71453E6C"/>
    <w:rsid w:val="72DD431A"/>
    <w:rsid w:val="72E10A6A"/>
    <w:rsid w:val="72F316A6"/>
    <w:rsid w:val="735B1691"/>
    <w:rsid w:val="7375655F"/>
    <w:rsid w:val="73765FEC"/>
    <w:rsid w:val="73C66DBA"/>
    <w:rsid w:val="73CA59A1"/>
    <w:rsid w:val="73DB0791"/>
    <w:rsid w:val="745325CF"/>
    <w:rsid w:val="748C3B60"/>
    <w:rsid w:val="75171C9C"/>
    <w:rsid w:val="75A82C1C"/>
    <w:rsid w:val="75E43528"/>
    <w:rsid w:val="76EC4D8A"/>
    <w:rsid w:val="77083B1E"/>
    <w:rsid w:val="77275DEC"/>
    <w:rsid w:val="776E10D5"/>
    <w:rsid w:val="777C7EBC"/>
    <w:rsid w:val="77D62F5C"/>
    <w:rsid w:val="787E4304"/>
    <w:rsid w:val="788860C0"/>
    <w:rsid w:val="79366790"/>
    <w:rsid w:val="79393B8B"/>
    <w:rsid w:val="796E12E6"/>
    <w:rsid w:val="7A3A3116"/>
    <w:rsid w:val="7A761230"/>
    <w:rsid w:val="7AB12572"/>
    <w:rsid w:val="7AF216E2"/>
    <w:rsid w:val="7B4F4BB8"/>
    <w:rsid w:val="7B553189"/>
    <w:rsid w:val="7C6B6751"/>
    <w:rsid w:val="7C783F92"/>
    <w:rsid w:val="7CB1097F"/>
    <w:rsid w:val="7D5E1E12"/>
    <w:rsid w:val="7D62362F"/>
    <w:rsid w:val="7DD97B31"/>
    <w:rsid w:val="7EE44E3B"/>
    <w:rsid w:val="7F452E48"/>
    <w:rsid w:val="7FEB36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autoRedefine/>
    <w:qFormat/>
    <w:uiPriority w:val="9"/>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autoRedefine/>
    <w:qFormat/>
    <w:uiPriority w:val="0"/>
    <w:pPr>
      <w:ind w:firstLine="444"/>
    </w:pPr>
    <w:rPr>
      <w:b/>
      <w:sz w:val="24"/>
    </w:rPr>
  </w:style>
  <w:style w:type="paragraph" w:styleId="4">
    <w:name w:val="footer"/>
    <w:basedOn w:val="1"/>
    <w:link w:val="10"/>
    <w:autoRedefine/>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autoRedefine/>
    <w:qFormat/>
    <w:uiPriority w:val="0"/>
    <w:pPr>
      <w:spacing w:after="120"/>
      <w:ind w:left="420" w:firstLine="210"/>
    </w:pPr>
    <w:rPr>
      <w:sz w:val="21"/>
    </w:rPr>
  </w:style>
  <w:style w:type="character" w:customStyle="1" w:styleId="9">
    <w:name w:val="页眉 字符"/>
    <w:basedOn w:val="8"/>
    <w:link w:val="5"/>
    <w:autoRedefine/>
    <w:qFormat/>
    <w:uiPriority w:val="0"/>
    <w:rPr>
      <w:rFonts w:ascii="Times New Roman" w:hAnsi="Times New Roman" w:eastAsia="宋体" w:cs="Times New Roman"/>
      <w:kern w:val="2"/>
      <w:sz w:val="18"/>
      <w:szCs w:val="18"/>
    </w:rPr>
  </w:style>
  <w:style w:type="character" w:customStyle="1" w:styleId="10">
    <w:name w:val="页脚 字符"/>
    <w:basedOn w:val="8"/>
    <w:link w:val="4"/>
    <w:autoRedefine/>
    <w:qFormat/>
    <w:uiPriority w:val="0"/>
    <w:rPr>
      <w:rFonts w:ascii="Times New Roman" w:hAnsi="Times New Roman" w:eastAsia="宋体" w:cs="Times New Roman"/>
      <w:kern w:val="2"/>
      <w:sz w:val="18"/>
      <w:szCs w:val="18"/>
    </w:rPr>
  </w:style>
  <w:style w:type="character" w:customStyle="1" w:styleId="11">
    <w:name w:val="NormalCharacter"/>
    <w:autoRedefine/>
    <w:qFormat/>
    <w:uiPriority w:val="0"/>
  </w:style>
  <w:style w:type="paragraph" w:customStyle="1" w:styleId="12">
    <w:name w:val="正文文本首行缩进 21"/>
    <w:basedOn w:val="3"/>
    <w:autoRedefine/>
    <w:qFormat/>
    <w:uiPriority w:val="0"/>
    <w:pPr>
      <w:ind w:firstLine="4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3709</Words>
  <Characters>4006</Characters>
  <Lines>37</Lines>
  <Paragraphs>10</Paragraphs>
  <TotalTime>6</TotalTime>
  <ScaleCrop>false</ScaleCrop>
  <LinksUpToDate>false</LinksUpToDate>
  <CharactersWithSpaces>4061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王金凤</cp:lastModifiedBy>
  <cp:lastPrinted>2023-12-21T10:19:00Z</cp:lastPrinted>
  <dcterms:modified xsi:type="dcterms:W3CDTF">2024-06-02T14:11:44Z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762C48DA24A24B20BE97370ED7AC2B84_13</vt:lpwstr>
  </property>
</Properties>
</file>